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99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7"/>
        <w:gridCol w:w="5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4287" w:type="dxa"/>
            <w:tcBorders>
              <w:top w:val="nil"/>
              <w:left w:val="nil"/>
              <w:bottom w:val="nil"/>
              <w:right w:val="nil"/>
            </w:tcBorders>
            <w:tcMar>
              <w:top w:w="0" w:type="dxa"/>
              <w:left w:w="108" w:type="dxa"/>
              <w:bottom w:w="0" w:type="dxa"/>
              <w:right w:w="108" w:type="dxa"/>
            </w:tcMar>
          </w:tcPr>
          <w:p>
            <w:pPr>
              <w:spacing w:after="0"/>
              <w:jc w:val="center"/>
              <w:rPr>
                <w:rFonts w:ascii="Times New Roman" w:hAnsi="Times New Roman" w:eastAsia="Times New Roman"/>
                <w:color w:val="000000" w:themeColor="text1"/>
                <w:spacing w:val="-4"/>
                <w:sz w:val="26"/>
                <w:szCs w:val="26"/>
                <w14:textFill>
                  <w14:solidFill>
                    <w14:schemeClr w14:val="tx1"/>
                  </w14:solidFill>
                </w14:textFill>
              </w:rPr>
            </w:pPr>
            <w:r>
              <w:rPr>
                <w:rFonts w:ascii="Times New Roman" w:hAnsi="Times New Roman" w:eastAsia="Times New Roman"/>
                <w:color w:val="000000" w:themeColor="text1"/>
                <w:spacing w:val="-4"/>
                <w:sz w:val="26"/>
                <w:szCs w:val="26"/>
                <w14:textFill>
                  <w14:solidFill>
                    <w14:schemeClr w14:val="tx1"/>
                  </w14:solidFill>
                </w14:textFill>
              </w:rPr>
              <w:t>ỦY BAN NHÂN DÂN</w:t>
            </w:r>
          </w:p>
          <w:p>
            <w:pPr>
              <w:spacing w:after="0"/>
              <w:jc w:val="center"/>
              <w:rPr>
                <w:rFonts w:ascii="Times New Roman" w:hAnsi="Times New Roman" w:eastAsia="Times New Roman"/>
                <w:color w:val="000000" w:themeColor="text1"/>
                <w:spacing w:val="-4"/>
                <w:sz w:val="26"/>
                <w:szCs w:val="26"/>
                <w14:textFill>
                  <w14:solidFill>
                    <w14:schemeClr w14:val="tx1"/>
                  </w14:solidFill>
                </w14:textFill>
              </w:rPr>
            </w:pPr>
            <w:r>
              <w:rPr>
                <w:rFonts w:ascii="Times New Roman" w:hAnsi="Times New Roman" w:eastAsia="Times New Roman"/>
                <w:color w:val="000000" w:themeColor="text1"/>
                <w:spacing w:val="-4"/>
                <w:sz w:val="26"/>
                <w:szCs w:val="26"/>
                <w14:textFill>
                  <w14:solidFill>
                    <w14:schemeClr w14:val="tx1"/>
                  </w14:solidFill>
                </w14:textFill>
              </w:rPr>
              <w:t>THÀNH PHỐ THỦ ĐỨC</w:t>
            </w:r>
          </w:p>
          <w:p>
            <w:pPr>
              <w:spacing w:after="0"/>
              <w:jc w:val="center"/>
              <w:rPr>
                <w:rFonts w:ascii="Times New Roman" w:hAnsi="Times New Roman" w:eastAsia="Times New Roman"/>
                <w:b/>
                <w:color w:val="000000" w:themeColor="text1"/>
                <w:spacing w:val="-4"/>
                <w:sz w:val="26"/>
                <w:szCs w:val="26"/>
                <w14:textFill>
                  <w14:solidFill>
                    <w14:schemeClr w14:val="tx1"/>
                  </w14:solidFill>
                </w14:textFill>
              </w:rPr>
            </w:pPr>
            <w:r>
              <w:rPr>
                <w:rFonts w:ascii="Times New Roman" w:hAnsi="Times New Roman" w:eastAsia="Times New Roman"/>
                <w:b/>
                <w:color w:val="000000" w:themeColor="text1"/>
                <w:spacing w:val="-4"/>
                <w:sz w:val="26"/>
                <w:szCs w:val="26"/>
                <w14:textFill>
                  <w14:solidFill>
                    <w14:schemeClr w14:val="tx1"/>
                  </w14:solidFill>
                </w14:textFill>
              </w:rPr>
              <w:t>PHÒNG GIÁO DỤC VÀ ĐÀO TẠO</w:t>
            </w:r>
          </w:p>
          <w:p>
            <w:pPr>
              <w:spacing w:after="0"/>
              <w:jc w:val="center"/>
              <w:rPr>
                <w:rFonts w:ascii="Times New Roman" w:hAnsi="Times New Roman" w:eastAsia="Times New Roman"/>
                <w:color w:val="000000" w:themeColor="text1"/>
                <w:spacing w:val="-4"/>
                <w:sz w:val="26"/>
                <w:szCs w:val="26"/>
                <w14:textFill>
                  <w14:solidFill>
                    <w14:schemeClr w14:val="tx1"/>
                  </w14:solidFill>
                </w14:textFill>
              </w:rPr>
            </w:pPr>
            <w:r>
              <w:rPr>
                <w:rFonts w:ascii="Times New Roman" w:hAnsi="Times New Roman" w:eastAsia="Times New Roman"/>
                <w:color w:val="000000" w:themeColor="text1"/>
                <w:spacing w:val="-4"/>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828040</wp:posOffset>
                      </wp:positionH>
                      <wp:positionV relativeFrom="paragraph">
                        <wp:posOffset>74295</wp:posOffset>
                      </wp:positionV>
                      <wp:extent cx="9277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9280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2pt;margin-top:5.85pt;height:0pt;width:73.05pt;z-index:251659264;mso-width-relative:page;mso-height-relative:page;" filled="f" stroked="t" coordsize="21600,21600" o:gfxdata="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2p5A7ZAAAA&#10;CQEAAA8AAAAAAAAAAQAgAAAAIgAAAGRycy9kb3ducmV2LnhtbFBLAQIUABQAAAAIAIdO4kA0gzl4&#10;4wEAANUDAAAOAAAAAAAAAAEAIAAAACgBAABkcnMvZTJvRG9jLnhtbFBLBQYAAAAABgAGAFkBAAB9&#10;BQAAAAA=&#10;">
                      <v:fill on="f" focussize="0,0"/>
                      <v:stroke color="#4A7EBB [3204]" joinstyle="round"/>
                      <v:imagedata o:title=""/>
                      <o:lock v:ext="edit" aspectratio="f"/>
                    </v:line>
                  </w:pict>
                </mc:Fallback>
              </mc:AlternateContent>
            </w:r>
          </w:p>
          <w:p>
            <w:pPr>
              <w:spacing w:after="0"/>
              <w:jc w:val="center"/>
              <w:rPr>
                <w:rFonts w:ascii="Times New Roman" w:hAnsi="Times New Roman" w:eastAsia="Times New Roman"/>
                <w:color w:val="000000" w:themeColor="text1"/>
                <w:spacing w:val="-4"/>
                <w:sz w:val="26"/>
                <w:szCs w:val="26"/>
                <w14:textFill>
                  <w14:solidFill>
                    <w14:schemeClr w14:val="tx1"/>
                  </w14:solidFill>
                </w14:textFill>
              </w:rPr>
            </w:pPr>
            <w:r>
              <w:rPr>
                <w:rFonts w:ascii="Times New Roman" w:hAnsi="Times New Roman" w:eastAsia="Times New Roman"/>
                <w:color w:val="000000" w:themeColor="text1"/>
                <w:spacing w:val="-4"/>
                <w:sz w:val="26"/>
                <w:szCs w:val="26"/>
                <w14:textFill>
                  <w14:solidFill>
                    <w14:schemeClr w14:val="tx1"/>
                  </w14:solidFill>
                </w14:textFill>
              </w:rPr>
              <w:t>Số:          /KH-GDĐT</w:t>
            </w:r>
          </w:p>
        </w:tc>
        <w:tc>
          <w:tcPr>
            <w:tcW w:w="5704" w:type="dxa"/>
            <w:tcBorders>
              <w:top w:val="nil"/>
              <w:left w:val="nil"/>
              <w:bottom w:val="nil"/>
              <w:right w:val="nil"/>
            </w:tcBorders>
            <w:tcMar>
              <w:top w:w="0" w:type="dxa"/>
              <w:left w:w="108" w:type="dxa"/>
              <w:bottom w:w="0" w:type="dxa"/>
              <w:right w:w="108" w:type="dxa"/>
            </w:tcMar>
          </w:tcPr>
          <w:p>
            <w:pPr>
              <w:spacing w:after="0"/>
              <w:jc w:val="center"/>
              <w:rPr>
                <w:rFonts w:ascii="Times New Roman" w:hAnsi="Times New Roman" w:eastAsia="Times New Roman"/>
                <w:b/>
                <w:color w:val="000000" w:themeColor="text1"/>
                <w:spacing w:val="-4"/>
                <w:sz w:val="26"/>
                <w:szCs w:val="26"/>
                <w14:textFill>
                  <w14:solidFill>
                    <w14:schemeClr w14:val="tx1"/>
                  </w14:solidFill>
                </w14:textFill>
              </w:rPr>
            </w:pPr>
            <w:r>
              <w:rPr>
                <w:rFonts w:ascii="Times New Roman" w:hAnsi="Times New Roman" w:eastAsia="Times New Roman"/>
                <w:b/>
                <w:color w:val="000000" w:themeColor="text1"/>
                <w:spacing w:val="-4"/>
                <w:sz w:val="26"/>
                <w:szCs w:val="26"/>
                <w14:textFill>
                  <w14:solidFill>
                    <w14:schemeClr w14:val="tx1"/>
                  </w14:solidFill>
                </w14:textFill>
              </w:rPr>
              <w:t>CỘNG HOÀ XÃ HỘI CHỦ NGHĨA VIỆT NAM</w:t>
            </w:r>
          </w:p>
          <w:p>
            <w:pPr>
              <w:spacing w:after="0"/>
              <w:jc w:val="center"/>
              <w:rPr>
                <w:rFonts w:ascii="Times New Roman" w:hAnsi="Times New Roman" w:eastAsia="Times New Roman"/>
                <w:b/>
                <w:color w:val="000000" w:themeColor="text1"/>
                <w:spacing w:val="-4"/>
                <w:sz w:val="26"/>
                <w:szCs w:val="26"/>
                <w14:textFill>
                  <w14:solidFill>
                    <w14:schemeClr w14:val="tx1"/>
                  </w14:solidFill>
                </w14:textFill>
              </w:rPr>
            </w:pPr>
            <w:r>
              <w:rPr>
                <w:rFonts w:ascii="Times New Roman" w:hAnsi="Times New Roman" w:eastAsia="Times New Roman"/>
                <w:b/>
                <w:color w:val="000000" w:themeColor="text1"/>
                <w:spacing w:val="-4"/>
                <w:sz w:val="26"/>
                <w:szCs w:val="26"/>
                <w14:textFill>
                  <w14:solidFill>
                    <w14:schemeClr w14:val="tx1"/>
                  </w14:solidFill>
                </w14:textFill>
              </w:rPr>
              <w:t>Độc lập - Tự do - Hạnh phúc</w:t>
            </w:r>
          </w:p>
          <w:p>
            <w:pPr>
              <w:spacing w:after="0"/>
              <w:jc w:val="center"/>
              <w:rPr>
                <w:rFonts w:ascii="Times New Roman" w:hAnsi="Times New Roman" w:eastAsia="Times New Roman"/>
                <w:color w:val="000000" w:themeColor="text1"/>
                <w:spacing w:val="-4"/>
                <w:sz w:val="26"/>
                <w:szCs w:val="26"/>
                <w14:textFill>
                  <w14:solidFill>
                    <w14:schemeClr w14:val="tx1"/>
                  </w14:solidFill>
                </w14:textFill>
              </w:rPr>
            </w:pPr>
            <w:r>
              <w:rPr>
                <w:rFonts w:ascii="Times New Roman" w:hAnsi="Times New Roman" w:eastAsia="Times New Roman"/>
                <w:color w:val="000000" w:themeColor="text1"/>
                <w:spacing w:val="-4"/>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644525</wp:posOffset>
                      </wp:positionH>
                      <wp:positionV relativeFrom="paragraph">
                        <wp:posOffset>24765</wp:posOffset>
                      </wp:positionV>
                      <wp:extent cx="217678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768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75pt;margin-top:1.95pt;height:0pt;width:171.4pt;z-index:251660288;mso-width-relative:page;mso-height-relative:page;" filled="f" stroked="t" coordsize="21600,21600" o:gfxdata="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Utnh1gAAAAcB&#10;AAAPAAAAAAAAAAEAIAAAACIAAABkcnMvZG93bnJldi54bWxQSwECFAAUAAAACACHTuJASvEVP+QB&#10;AADWAwAADgAAAAAAAAABACAAAAAlAQAAZHJzL2Uyb0RvYy54bWxQSwUGAAAAAAYABgBZAQAAewUA&#10;AAAA&#10;">
                      <v:fill on="f" focussize="0,0"/>
                      <v:stroke color="#4A7EBB [3204]" joinstyle="round"/>
                      <v:imagedata o:title=""/>
                      <o:lock v:ext="edit" aspectratio="f"/>
                    </v:line>
                  </w:pict>
                </mc:Fallback>
              </mc:AlternateContent>
            </w:r>
          </w:p>
          <w:p>
            <w:pPr>
              <w:spacing w:after="0"/>
              <w:jc w:val="center"/>
              <w:rPr>
                <w:rFonts w:ascii="Times New Roman" w:hAnsi="Times New Roman" w:eastAsia="Times New Roman"/>
                <w:i/>
                <w:color w:val="000000" w:themeColor="text1"/>
                <w:spacing w:val="-4"/>
                <w:sz w:val="26"/>
                <w:szCs w:val="26"/>
                <w14:textFill>
                  <w14:solidFill>
                    <w14:schemeClr w14:val="tx1"/>
                  </w14:solidFill>
                </w14:textFill>
              </w:rPr>
            </w:pPr>
          </w:p>
          <w:p>
            <w:pPr>
              <w:spacing w:after="0"/>
              <w:jc w:val="center"/>
              <w:rPr>
                <w:rFonts w:ascii="Times New Roman" w:hAnsi="Times New Roman" w:eastAsia="Times New Roman"/>
                <w:color w:val="000000" w:themeColor="text1"/>
                <w:spacing w:val="-4"/>
                <w:sz w:val="26"/>
                <w:szCs w:val="26"/>
                <w14:textFill>
                  <w14:solidFill>
                    <w14:schemeClr w14:val="tx1"/>
                  </w14:solidFill>
                </w14:textFill>
              </w:rPr>
            </w:pPr>
            <w:r>
              <w:rPr>
                <w:rFonts w:ascii="Times New Roman" w:hAnsi="Times New Roman" w:eastAsia="Times New Roman"/>
                <w:i/>
                <w:color w:val="000000" w:themeColor="text1"/>
                <w:spacing w:val="-4"/>
                <w:sz w:val="26"/>
                <w:szCs w:val="26"/>
                <w14:textFill>
                  <w14:solidFill>
                    <w14:schemeClr w14:val="tx1"/>
                  </w14:solidFill>
                </w14:textFill>
              </w:rPr>
              <w:t>Thành phố Thủ Đức, ngày       tháng 9 năm 2021</w:t>
            </w:r>
          </w:p>
        </w:tc>
      </w:tr>
    </w:tbl>
    <w:p>
      <w:pPr>
        <w:spacing w:after="0" w:line="240" w:lineRule="auto"/>
        <w:ind w:right="100"/>
        <w:jc w:val="center"/>
        <w:rPr>
          <w:rFonts w:ascii="Times New Roman" w:hAnsi="Times New Roman" w:eastAsia="Times New Roman"/>
          <w:color w:val="000000" w:themeColor="text1"/>
          <w:spacing w:val="-4"/>
          <w:sz w:val="28"/>
          <w:szCs w:val="28"/>
          <w14:textFill>
            <w14:solidFill>
              <w14:schemeClr w14:val="tx1"/>
            </w14:solidFill>
          </w14:textFill>
        </w:rPr>
      </w:pPr>
    </w:p>
    <w:p>
      <w:pPr>
        <w:spacing w:after="0" w:line="240" w:lineRule="auto"/>
        <w:ind w:right="100"/>
        <w:jc w:val="center"/>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 xml:space="preserve">KẾ HOẠCH </w:t>
      </w:r>
    </w:p>
    <w:p>
      <w:pPr>
        <w:spacing w:after="0" w:line="240" w:lineRule="auto"/>
        <w:ind w:right="100"/>
        <w:jc w:val="center"/>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Công tác Chính trị tư tưởng năm học 2021-2022</w:t>
      </w:r>
    </w:p>
    <w:p>
      <w:pPr>
        <w:ind w:right="100"/>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2409190</wp:posOffset>
                </wp:positionH>
                <wp:positionV relativeFrom="paragraph">
                  <wp:posOffset>151765</wp:posOffset>
                </wp:positionV>
                <wp:extent cx="92773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9280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7pt;margin-top:11.95pt;height:0pt;width:73.05pt;z-index:251661312;mso-width-relative:page;mso-height-relative:page;" filled="f" stroked="t" coordsize="21600,21600" o:gfxdata="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NxDP2QAA&#10;AAkBAAAPAAAAAAAAAAEAIAAAACIAAABkcnMvZG93bnJldi54bWxQSwECFAAUAAAACACHTuJAS75s&#10;TuQBAADVAwAADgAAAAAAAAABACAAAAAoAQAAZHJzL2Uyb0RvYy54bWxQSwUGAAAAAAYABgBZAQAA&#10;fgUAAAAA&#10;">
                <v:fill on="f" focussize="0,0"/>
                <v:stroke color="#4A7EBB [3204]" joinstyle="round"/>
                <v:imagedata o:title=""/>
                <o:lock v:ext="edit" aspectratio="f"/>
              </v:line>
            </w:pict>
          </mc:Fallback>
        </mc:AlternateContent>
      </w:r>
    </w:p>
    <w:p>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Căn cứ Công văn số 3761/BGDĐT-GDCTHSSV ngày 31 tháng 8 năm 2021 của Bộ Giáo dục và Đào tạo về hướng dẫn thực hiện nhiệm vụ giáo dục chính trị và công tác HSSV năm học 2021-2022;</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Thực hiện Kế hoạch số 2548/KH-SGDĐT ngày 20 tháng 9 năm 2021 của Sở Giáo dục và Đào tạo về công tác chính trị tư tưởng năm học 2021-2022;</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Phòng Giáo dục và Đào tạo triển khai Kế hoạch công tác chính trị tư tưởng năm học 2021-2022 như sau:</w:t>
      </w:r>
    </w:p>
    <w:p>
      <w:pPr>
        <w:numPr>
          <w:ilvl w:val="0"/>
          <w:numId w:val="1"/>
        </w:numPr>
        <w:tabs>
          <w:tab w:val="left" w:pos="360"/>
          <w:tab w:val="left" w:pos="993"/>
        </w:tabs>
        <w:spacing w:before="120" w:after="0" w:line="240" w:lineRule="auto"/>
        <w:ind w:right="-7" w:firstLine="720"/>
        <w:jc w:val="both"/>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NHIỆM VỤ TRỌNG TÂM</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spacing w:val="-2"/>
          <w:sz w:val="28"/>
          <w:szCs w:val="28"/>
        </w:rPr>
        <w:t xml:space="preserve">Trong điều kiện tình hình dịch bệnh COVID-19 diễn biến phức tạp, các </w:t>
      </w:r>
      <w:r>
        <w:rPr>
          <w:rFonts w:ascii="Times New Roman" w:hAnsi="Times New Roman" w:eastAsia="Times New Roman"/>
          <w:color w:val="000000" w:themeColor="text1"/>
          <w:spacing w:val="-4"/>
          <w:sz w:val="28"/>
          <w:szCs w:val="28"/>
          <w14:textFill>
            <w14:solidFill>
              <w14:schemeClr w14:val="tx1"/>
            </w14:solidFill>
          </w14:textFill>
        </w:rPr>
        <w:t xml:space="preserve">cơ sở giáo dục </w:t>
      </w:r>
      <w:r>
        <w:rPr>
          <w:rFonts w:ascii="Times New Roman" w:hAnsi="Times New Roman"/>
          <w:spacing w:val="-2"/>
          <w:sz w:val="28"/>
          <w:szCs w:val="28"/>
        </w:rPr>
        <w:t xml:space="preserve">chủ động xây dựng kế hoạch thực hiện công tác chính trị tư tưởng </w:t>
      </w:r>
      <w:r>
        <w:rPr>
          <w:rFonts w:ascii="Times New Roman" w:hAnsi="Times New Roman"/>
          <w:iCs/>
          <w:sz w:val="28"/>
          <w:szCs w:val="28"/>
        </w:rPr>
        <w:t>linh hoạt, phù hợp với tình hình thực tế;</w:t>
      </w:r>
      <w:r>
        <w:rPr>
          <w:rFonts w:ascii="Times New Roman" w:hAnsi="Times New Roman" w:eastAsia="Times New Roman"/>
          <w:color w:val="000000" w:themeColor="text1"/>
          <w:spacing w:val="-4"/>
          <w:sz w:val="28"/>
          <w:szCs w:val="28"/>
          <w14:textFill>
            <w14:solidFill>
              <w14:schemeClr w14:val="tx1"/>
            </w14:solidFill>
          </w14:textFill>
        </w:rPr>
        <w:t xml:space="preserve"> chuẩn bị đầy đủ các phương án tổ chức các hoạt động giáo dục toàn diện cho học sinh trên môi trường internet khi học sinh không thể đến trường và có kế hoạch</w:t>
      </w:r>
      <w:r>
        <w:rPr>
          <w:rFonts w:ascii="Times New Roman" w:hAnsi="Times New Roman"/>
          <w:iCs/>
          <w:sz w:val="28"/>
          <w:szCs w:val="28"/>
        </w:rPr>
        <w:t xml:space="preserve"> tận dụng khoảng thời gian khi học sinh được học tập, rèn luyện trực tiếp tại trường để tổ chức</w:t>
      </w:r>
      <w:r>
        <w:rPr>
          <w:rFonts w:ascii="Times New Roman" w:hAnsi="Times New Roman"/>
          <w:sz w:val="28"/>
          <w:szCs w:val="28"/>
          <w:lang w:val="vi"/>
        </w:rPr>
        <w:t xml:space="preserve"> </w:t>
      </w:r>
      <w:r>
        <w:rPr>
          <w:rFonts w:ascii="Times New Roman" w:hAnsi="Times New Roman" w:eastAsia="Times New Roman"/>
          <w:color w:val="000000" w:themeColor="text1"/>
          <w:spacing w:val="-4"/>
          <w:sz w:val="28"/>
          <w:szCs w:val="28"/>
          <w14:textFill>
            <w14:solidFill>
              <w14:schemeClr w14:val="tx1"/>
            </w14:solidFill>
          </w14:textFill>
        </w:rPr>
        <w:t xml:space="preserve">các hoạt động giáo dục lý tưởng cách mạng, đạo đức lối sống, kỹ năng sống, kiến thức pháp luật, ý thức công dân và hoạt động ngoại khóa, trải nghiệm, văn hóa nghệ thuật, thể dục thể thao,… theo kế hoạch giáo dục của nhà trường trong năm học 2021-2022. Đảm bảo: </w:t>
      </w:r>
    </w:p>
    <w:p>
      <w:pPr>
        <w:tabs>
          <w:tab w:val="left" w:pos="851"/>
          <w:tab w:val="left" w:pos="900"/>
          <w:tab w:val="left" w:pos="993"/>
        </w:tabs>
        <w:spacing w:before="120" w:after="0" w:line="240" w:lineRule="auto"/>
        <w:ind w:left="720" w:right="-7"/>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Đội ngũ cán bộ, giáo viên, nhân viên đoàn kết, chung sức, đồng lòng, nỗ lực vượt khó thực hiện thắng lợi nhiệm vụ năm học 2021-2022;</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Học sinh được chăm sóc, bảo vệ và an toàn, an tâm, tập trung thực hiện tốt nhiệm vụ học tập; có môi trường, điều kiện thuận lợi để được giáo dục toàn diện, rèn luyện và phát triển bản thân.</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Mỗi cơ sở giáo dục cần triển khai thực hiện có hiệu quả các hoạt động giáo dục toàn diện học sinh phù hợp với yêu cầu, tinh thần của chương trình Giáo dục phổ thông 2018, sách giáo khoa mới. Đặc biệt, bên cạnh các hoạt động giáo dục ngoài giờ chính khóa, khi có điều kiện thích hợp, mỗi nhà trường cần cụ thể hóa các hoạt động giáo dục toàn diện cho học sinh trong thời lượng hoạt động buổi 2, hoạt động chính khóa, hoạt động trực tuyến, hoạt động trực tiếp. </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Thực hiện hiệu quả các biện pháp phòng, chống và ứng phó với tác động tiêu cực của đại dịch Covid-19, xây dựng môi trường học đường an toàn, giữ gìn và bảo vệ sức khỏe của cán bộ, giáo viên, nhân viên và học sinh.</w:t>
      </w:r>
    </w:p>
    <w:p>
      <w:pPr>
        <w:numPr>
          <w:ilvl w:val="0"/>
          <w:numId w:val="1"/>
        </w:numPr>
        <w:tabs>
          <w:tab w:val="left" w:pos="360"/>
          <w:tab w:val="left" w:pos="1134"/>
        </w:tabs>
        <w:spacing w:before="120" w:after="0" w:line="240" w:lineRule="auto"/>
        <w:ind w:right="-7" w:firstLine="720"/>
        <w:jc w:val="both"/>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GIẢI PHÁP THỰC HIỆN</w:t>
      </w:r>
    </w:p>
    <w:p>
      <w:pPr>
        <w:numPr>
          <w:ilvl w:val="0"/>
          <w:numId w:val="3"/>
        </w:numPr>
        <w:tabs>
          <w:tab w:val="left" w:pos="360"/>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Công tác giáo dục chính trị tư tưởng, lý tưởng cách mạng, đạo đức lối sống, văn hóa ứng xử</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color w:val="000000" w:themeColor="text1"/>
          <w:spacing w:val="-4"/>
          <w:sz w:val="28"/>
          <w:szCs w:val="28"/>
          <w14:textFill>
            <w14:solidFill>
              <w14:schemeClr w14:val="tx1"/>
            </w14:solidFill>
          </w14:textFill>
        </w:rPr>
        <w:t>Trước tình hình dịch bệnh Covid-19 diễn biến còn phức tạp, các cơ sở giáo dục cần kịp thời nắm bắt tình hình chính trị, tư tưởng, tâm tư, nguyện vọng của đội ngũ cán bộ, giáo viên, nhân viên và học sinh toàn ngành, nhất là những cá nhân bị ảnh hưởng nhiều bởi dịch bệnh Covid-19; kịp thời giải quyết những vấn đề phức tạp về chính trị, tư tưởng và những khó khăn, bức xúc của các cá nhân, tập thể ảnh hưởng không tốt đến khối đoàn kết, thống nhất tại đơn vị. Tăng cường tổ chức thực hiện tốt công tác giáo dục lý tưởng cách mạng, chú trọng giáo dục nhân cách, đạo đức, lối sống, kiến thức pháp luật và ý thức công dân trong mỗi cơ sở giáo dục, góp phần thực hiện tốt Chỉ thị số 31/CT-TTg ngày 04/12/2019 của Thủ tướng Chính phủ về</w:t>
      </w:r>
      <w:r>
        <w:rPr>
          <w:rFonts w:ascii="Times New Roman" w:hAnsi="Times New Roman" w:eastAsia="Times New Roman"/>
          <w:i/>
          <w:color w:val="000000" w:themeColor="text1"/>
          <w:spacing w:val="-4"/>
          <w:sz w:val="28"/>
          <w:szCs w:val="28"/>
          <w14:textFill>
            <w14:solidFill>
              <w14:schemeClr w14:val="tx1"/>
            </w14:solidFill>
          </w14:textFill>
        </w:rPr>
        <w:t xml:space="preserve"> “Tăng cường các giải pháp giáo dục đạo đức, lối sống cho học sinh sinh viên”</w:t>
      </w:r>
      <w:r>
        <w:rPr>
          <w:rFonts w:ascii="Times New Roman" w:hAnsi="Times New Roman" w:eastAsia="Times New Roman"/>
          <w:color w:val="000000" w:themeColor="text1"/>
          <w:spacing w:val="-4"/>
          <w:sz w:val="28"/>
          <w:szCs w:val="28"/>
          <w14:textFill>
            <w14:solidFill>
              <w14:schemeClr w14:val="tx1"/>
            </w14:solidFill>
          </w14:textFill>
        </w:rPr>
        <w:t>; thực hiện tốt hơn nữa công tác phát triển Đảng và bồi dưỡng nhận thức về Đảng trong HS theo tinh thần Chỉ thị số 34-CT/TW ngày 30/5/1998 của Bộ Chính trị (Khoá VIII) về “</w:t>
      </w:r>
      <w:r>
        <w:rPr>
          <w:rFonts w:ascii="Times New Roman" w:hAnsi="Times New Roman" w:eastAsia="Times New Roman"/>
          <w:i/>
          <w:color w:val="000000" w:themeColor="text1"/>
          <w:spacing w:val="-4"/>
          <w:sz w:val="28"/>
          <w:szCs w:val="28"/>
          <w14:textFill>
            <w14:solidFill>
              <w14:schemeClr w14:val="tx1"/>
            </w14:solidFill>
          </w14:textFill>
        </w:rPr>
        <w:t>Tăng cường công tác chính trị tư tưởng; củng cố tổ chức đảng, đoàn thể quần chúng và công tác phát triển đảng viên trong các trường học”.</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Mỗi cơ sở giáo dục xây dựng kế hoạch và tổ chức thực hiện các hoạt động cụ thể để đẩy mạnh việc học tập và làm theo tư tưởng, đạo đức, phong cách Hồ Chí Minh theo Kế hoạch số 178/KH-BGDĐT ngày 16/3/2017 của Bộ Giáo dục và Đào tạo và các Chỉ đạo, hướng dẫn của Thành ủy về triển khai thực hiện Chỉ thị số 05-CT/TW trong năm 2021, 2022; </w:t>
      </w:r>
      <w:r>
        <w:rPr>
          <w:rFonts w:ascii="Times New Roman" w:hAnsi="Times New Roman" w:eastAsia="Times New Roman"/>
          <w:i/>
          <w:color w:val="000000" w:themeColor="text1"/>
          <w:spacing w:val="-4"/>
          <w:sz w:val="28"/>
          <w:szCs w:val="28"/>
          <w14:textFill>
            <w14:solidFill>
              <w14:schemeClr w14:val="tx1"/>
            </w14:solidFill>
          </w14:textFill>
        </w:rPr>
        <w:t>đặc biệt</w:t>
      </w:r>
      <w:r>
        <w:rPr>
          <w:rFonts w:ascii="Times New Roman" w:hAnsi="Times New Roman" w:eastAsia="Times New Roman"/>
          <w:color w:val="000000" w:themeColor="text1"/>
          <w:spacing w:val="-4"/>
          <w:sz w:val="28"/>
          <w:szCs w:val="28"/>
          <w14:textFill>
            <w14:solidFill>
              <w14:schemeClr w14:val="tx1"/>
            </w14:solidFill>
          </w14:textFill>
        </w:rPr>
        <w:t xml:space="preserve"> </w:t>
      </w:r>
      <w:r>
        <w:rPr>
          <w:rFonts w:ascii="Times New Roman" w:hAnsi="Times New Roman" w:eastAsia="Times New Roman"/>
          <w:i/>
          <w:color w:val="000000" w:themeColor="text1"/>
          <w:spacing w:val="-4"/>
          <w:sz w:val="28"/>
          <w:szCs w:val="28"/>
          <w14:textFill>
            <w14:solidFill>
              <w14:schemeClr w14:val="tx1"/>
            </w14:solidFill>
          </w14:textFill>
        </w:rPr>
        <w:t xml:space="preserve">phải quán triệt, tập trung làm tốt ba nội dung: Học tập, làm theo Bác và nêu gương của cán bộ, đảng viên </w:t>
      </w:r>
      <w:r>
        <w:rPr>
          <w:rFonts w:ascii="Times New Roman" w:hAnsi="Times New Roman" w:eastAsia="Times New Roman"/>
          <w:color w:val="000000" w:themeColor="text1"/>
          <w:spacing w:val="-4"/>
          <w:sz w:val="28"/>
          <w:szCs w:val="28"/>
          <w14:textFill>
            <w14:solidFill>
              <w14:schemeClr w14:val="tx1"/>
            </w14:solidFill>
          </w14:textFill>
        </w:rPr>
        <w:t>theo yêu cầu của Kết luận 01-KL/TW của Bộ Chính trị; kịp thời truyền thông, tuyên dương, vinh danh các tấm gương tập thể, nhà giáo, người lao động tiêu biểu trong việc thực hiện chức trách nhiệm vụ, học sinh tiêu biểu trong học tập, rèn luyện và các hành động cao đẹp, gương người tốt, việc tốt.</w:t>
      </w:r>
    </w:p>
    <w:p>
      <w:pPr>
        <w:pStyle w:val="23"/>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Tiếp tục tổ chức thực hiện các chỉ đạo, hướng dẫn của Thành ủy thành phố Thủ Đức về triển khai thực hiện Chỉ thị số 05-CT/TW. Tuyên truyền, hướng dẫn cán bộ, nhà giáo và học sinh tích cực tham gia Cuộc thi trực tuyến “Tuổi trẻ học tập và làm theo tư tưởng, đạo đức, phong cách Hồ Chí Minh” năm 2021 (Trang web Cuộc thi </w:t>
      </w:r>
      <w:r>
        <w:rPr>
          <w:rFonts w:ascii="Times New Roman" w:hAnsi="Times New Roman" w:eastAsia="Times New Roman"/>
          <w:color w:val="000000" w:themeColor="text1"/>
          <w:spacing w:val="-4"/>
          <w:sz w:val="28"/>
          <w:szCs w:val="28"/>
          <w:u w:val="single"/>
          <w14:textFill>
            <w14:solidFill>
              <w14:schemeClr w14:val="tx1"/>
            </w14:solidFill>
          </w14:textFill>
        </w:rPr>
        <w:t>http://hocvalamtheobac.vn/</w:t>
      </w:r>
      <w:r>
        <w:rPr>
          <w:rFonts w:ascii="Times New Roman" w:hAnsi="Times New Roman" w:eastAsia="Times New Roman"/>
          <w:color w:val="000000" w:themeColor="text1"/>
          <w:spacing w:val="-4"/>
          <w:sz w:val="28"/>
          <w:szCs w:val="28"/>
          <w14:textFill>
            <w14:solidFill>
              <w14:schemeClr w14:val="tx1"/>
            </w14:solidFill>
          </w14:textFill>
        </w:rPr>
        <w:t>); sử dụng hiệu quả bộ tài liệu “Bác Hồ và những bài học về đạo đức, lối sống” dành cho học sinh phổ thông trong các hoạt động dạy, học và hoạt động giáo dục ngoài giờ lên lớp. Giới thiệu rộng rãi trang thông tin về Chủ tịch Hồ Chí Minh (</w:t>
      </w:r>
      <w:r>
        <w:rPr>
          <w:rFonts w:ascii="Times New Roman" w:hAnsi="Times New Roman" w:eastAsia="Times New Roman"/>
          <w:color w:val="000000" w:themeColor="text1"/>
          <w:spacing w:val="-4"/>
          <w:sz w:val="28"/>
          <w:szCs w:val="28"/>
          <w:u w:val="single"/>
          <w14:textFill>
            <w14:solidFill>
              <w14:schemeClr w14:val="tx1"/>
            </w14:solidFill>
          </w14:textFill>
        </w:rPr>
        <w:t>http://www.hochiminh.vn/</w:t>
      </w:r>
      <w:r>
        <w:rPr>
          <w:rFonts w:ascii="Times New Roman" w:hAnsi="Times New Roman" w:eastAsia="Times New Roman"/>
          <w:color w:val="000000" w:themeColor="text1"/>
          <w:spacing w:val="-4"/>
          <w:sz w:val="28"/>
          <w:szCs w:val="28"/>
          <w14:textFill>
            <w14:solidFill>
              <w14:schemeClr w14:val="tx1"/>
            </w14:solidFill>
          </w14:textFill>
        </w:rPr>
        <w:t>) tới đội ngũ cán bộ quản lý, nhà giáo, người học để nghiên cứu, tham khảo học tập và làm theo Bác.</w:t>
      </w:r>
    </w:p>
    <w:p>
      <w:pPr>
        <w:spacing w:after="0" w:line="240" w:lineRule="auto"/>
        <w:ind w:firstLine="720"/>
        <w:jc w:val="both"/>
        <w:rPr>
          <w:rFonts w:ascii="Times New Roman" w:hAnsi="Times New Roman"/>
          <w:sz w:val="28"/>
          <w:szCs w:val="28"/>
        </w:rPr>
      </w:pPr>
      <w:r>
        <w:rPr>
          <w:rFonts w:ascii="Times New Roman" w:hAnsi="Times New Roman" w:eastAsia="Times New Roman"/>
          <w:color w:val="000000" w:themeColor="text1"/>
          <w:spacing w:val="-4"/>
          <w:sz w:val="28"/>
          <w:szCs w:val="28"/>
          <w14:textFill>
            <w14:solidFill>
              <w14:schemeClr w14:val="tx1"/>
            </w14:solidFill>
          </w14:textFill>
        </w:rPr>
        <w:t>- Triển khai và thực hiện nghiêm túc các văn bản chỉ đạo, hướng dẫn về công tác dân vận chính quyền và quy chế dân chủ ở cơ sở theo chỉ đạo của Thành ủy Thành phố Hồ Chí Minh về thực hiện Kết luận số 43-KL/TW ngày 07/01/2019 của Ban Bí thư về tiếp tục thực hiện Nghị quyết số 25-NQ/TW ngày 03/6/2013 của Ban Chấp hành Trung ương Đảng khóa XI về “</w:t>
      </w:r>
      <w:r>
        <w:rPr>
          <w:rFonts w:ascii="Times New Roman" w:hAnsi="Times New Roman" w:eastAsia="Times New Roman"/>
          <w:i/>
          <w:color w:val="000000" w:themeColor="text1"/>
          <w:spacing w:val="-4"/>
          <w:sz w:val="28"/>
          <w:szCs w:val="28"/>
          <w14:textFill>
            <w14:solidFill>
              <w14:schemeClr w14:val="tx1"/>
            </w14:solidFill>
          </w14:textFill>
        </w:rPr>
        <w:t>Tăng cường và đổi mới sự lãnh đạo của Đảng đối với công tác dân vận trong tình hình mới</w:t>
      </w:r>
      <w:r>
        <w:rPr>
          <w:rFonts w:ascii="Times New Roman" w:hAnsi="Times New Roman" w:eastAsia="Times New Roman"/>
          <w:color w:val="000000" w:themeColor="text1"/>
          <w:spacing w:val="-4"/>
          <w:sz w:val="28"/>
          <w:szCs w:val="28"/>
          <w14:textFill>
            <w14:solidFill>
              <w14:schemeClr w14:val="tx1"/>
            </w14:solidFill>
          </w14:textFill>
        </w:rPr>
        <w:t xml:space="preserve">”; </w:t>
      </w:r>
      <w:r>
        <w:rPr>
          <w:rFonts w:ascii="Times New Roman" w:hAnsi="Times New Roman" w:eastAsia="Times New Roman"/>
          <w:color w:val="000000" w:themeColor="text1"/>
          <w:spacing w:val="-4"/>
          <w:sz w:val="28"/>
          <w:szCs w:val="28"/>
          <w:highlight w:val="white"/>
          <w14:textFill>
            <w14:solidFill>
              <w14:schemeClr w14:val="tx1"/>
            </w14:solidFill>
          </w14:textFill>
        </w:rPr>
        <w:t>Chỉ thị số 06/CT-UBND ngày 30/6/2020 của Ủy ban nhân dân Thành phố Hồ Chí Minh về tăng cường hiệu quả thi hành trách nhiệm của Thủ trưởng đơn vị và trách nhiệm của mỗi cán bộ, công chức, viên chức trong phòng, chống vi phạm pháp luật và tội phạm; K</w:t>
      </w:r>
      <w:r>
        <w:rPr>
          <w:rFonts w:ascii="Times New Roman" w:hAnsi="Times New Roman"/>
          <w:sz w:val="28"/>
          <w:szCs w:val="28"/>
        </w:rPr>
        <w:t xml:space="preserve">ế hoạch số 78/KH-UBND ngày 12 tháng 4 năm 2021 của Ủy ban nhân dân thành phố Thủ Đức về kế hoạch triển khai công tác dân vận của chính quyền năm 2021 và Kế hoạch số 122/KH-UBND ngày 29 tháng 4 năm 2021 về quy chế dân chủ cơ sở trong các hoạt động của các cơ quan chuyên môn, đơn vị sự nghiệp, doanh nghiệp thuộc thành phố Thủ Đức và Ủy ban nhân dân 34 phường năm 2021; </w:t>
      </w:r>
      <w:r>
        <w:rPr>
          <w:rFonts w:ascii="Times New Roman" w:hAnsi="Times New Roman" w:eastAsia="Times New Roman"/>
          <w:color w:val="000000" w:themeColor="text1"/>
          <w:spacing w:val="-4"/>
          <w:sz w:val="28"/>
          <w:szCs w:val="28"/>
          <w:highlight w:val="white"/>
          <w14:textFill>
            <w14:solidFill>
              <w14:schemeClr w14:val="tx1"/>
            </w14:solidFill>
          </w14:textFill>
        </w:rPr>
        <w:t>thực hiện nghiêm túc việc công khai đối với cơ sở giáo dục và đào tạo thuộc hệ thống giáo dục quốc dân theo Thông tư số 36/2017/TT-BGDĐT ngày 28 tháng 12 năm 2017 của Bộ trưởng Bộ Giáo dục và Đào tạo ban hành.</w:t>
      </w:r>
      <w:r>
        <w:rPr>
          <w:rFonts w:ascii="Times New Roman" w:hAnsi="Times New Roman" w:eastAsia="Times New Roman"/>
          <w:color w:val="000000" w:themeColor="text1"/>
          <w:spacing w:val="-4"/>
          <w:sz w:val="28"/>
          <w:szCs w:val="28"/>
          <w14:textFill>
            <w14:solidFill>
              <w14:schemeClr w14:val="tx1"/>
            </w14:solidFill>
          </w14:textFill>
        </w:rPr>
        <w:t xml:space="preserve"> </w:t>
      </w:r>
    </w:p>
    <w:p>
      <w:pPr>
        <w:pStyle w:val="23"/>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Thực hiện hiệu quả Kế hoạch số 1108/KH-GDĐT-CTTT ngày 15/4/2020 về thực hiện Đề án </w:t>
      </w:r>
      <w:r>
        <w:rPr>
          <w:rFonts w:ascii="Times New Roman" w:hAnsi="Times New Roman" w:eastAsia="Times New Roman"/>
          <w:i/>
          <w:color w:val="000000" w:themeColor="text1"/>
          <w:spacing w:val="-4"/>
          <w:sz w:val="28"/>
          <w:szCs w:val="28"/>
          <w14:textFill>
            <w14:solidFill>
              <w14:schemeClr w14:val="tx1"/>
            </w14:solidFill>
          </w14:textFill>
        </w:rPr>
        <w:t>“Xây dựng văn hóa ứng xử trong trường học giai đoạn 2020 - 2025”</w:t>
      </w:r>
      <w:r>
        <w:rPr>
          <w:rFonts w:ascii="Times New Roman" w:hAnsi="Times New Roman" w:eastAsia="Times New Roman"/>
          <w:color w:val="000000" w:themeColor="text1"/>
          <w:spacing w:val="-4"/>
          <w:sz w:val="28"/>
          <w:szCs w:val="28"/>
          <w14:textFill>
            <w14:solidFill>
              <w14:schemeClr w14:val="tx1"/>
            </w14:solidFill>
          </w14:textFill>
        </w:rPr>
        <w:t xml:space="preserve"> của ngành Giáo dục và Đào tạo Thành phố</w:t>
      </w:r>
      <w:r>
        <w:rPr>
          <w:rFonts w:ascii="Times New Roman" w:hAnsi="Times New Roman" w:eastAsia="Times New Roman"/>
          <w:color w:val="000000" w:themeColor="text1"/>
          <w:spacing w:val="-4"/>
          <w:sz w:val="28"/>
          <w:szCs w:val="28"/>
          <w:highlight w:val="white"/>
          <w14:textFill>
            <w14:solidFill>
              <w14:schemeClr w14:val="tx1"/>
            </w14:solidFill>
          </w14:textFill>
        </w:rPr>
        <w:t xml:space="preserve"> nhằm tạo chuyển biến căn bản về ứng xử văn hóa; phát triển năng lực, hoàn thiện nhân cách; lối sống văn hóa của đội ngũ cán bộ, giáo viên, nhân viên và học sinh; xây dựng môi trường giáo dục an toàn, lành mạnh, thân thiện, phòng chống bạo lực học đường; xây dựng con người có nhân cách, lối sống tốt đẹp, với các đặc tính cơ bản: yêu nước, nhân ái, nghĩa tình, trung thực, đoàn kết, cần cù, sáng tạo. Trong năm học 2021-2022, t</w:t>
      </w:r>
      <w:r>
        <w:rPr>
          <w:rFonts w:ascii="Times New Roman" w:hAnsi="Times New Roman" w:eastAsia="Times New Roman"/>
          <w:color w:val="000000" w:themeColor="text1"/>
          <w:spacing w:val="-4"/>
          <w:sz w:val="28"/>
          <w:szCs w:val="28"/>
          <w14:textFill>
            <w14:solidFill>
              <w14:schemeClr w14:val="tx1"/>
            </w14:solidFill>
          </w14:textFill>
        </w:rPr>
        <w:t xml:space="preserve">iếp tục thực hiện hiệu quả, thực chất cuộc vận động “Mỗi thầy, cô giáo là một tấm gương đạo đức tự học và sáng tạo”; </w:t>
      </w:r>
      <w:r>
        <w:rPr>
          <w:rFonts w:ascii="Times New Roman" w:hAnsi="Times New Roman" w:eastAsia="Times New Roman"/>
          <w:color w:val="000000" w:themeColor="text1"/>
          <w:spacing w:val="-4"/>
          <w:sz w:val="28"/>
          <w:szCs w:val="28"/>
          <w:highlight w:val="white"/>
          <w14:textFill>
            <w14:solidFill>
              <w14:schemeClr w14:val="tx1"/>
            </w14:solidFill>
          </w14:textFill>
        </w:rPr>
        <w:t xml:space="preserve">100% trường học xây dựng, ban hành và tổ chức thực hiện Bộ Quy tắc ứng xử trong nhà trường theo quy định của Bộ Giáo dục và Đào tạo, phù hợp với điều kiện và đặc trưng của mỗi nhà trường. </w:t>
      </w:r>
    </w:p>
    <w:p>
      <w:pPr>
        <w:pStyle w:val="23"/>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Tăng cường công tác quản lý và nâng cao đạo đức nhà giáo theo Chỉ thị số 1737/CT-BGDĐT ngày 07/5/2018 của Bộ Giáo dục và Đào tạo và Kế hoạch số 2006/KH-GDĐT-CTTT ngày 13/6/2018 của Sở Giáo dục và Đào tạo triển khai tăng cường công tác quản lý và nâng cao đạo đức nhà giáo của ngành Giáo dục và Đào tạo Thành phố; ngăn ngừa, xử lý kịp thời, hiệu quả các hành vi tiêu cực, thiếu tính giáo dục trong cơ sở giáo dục; hướng đến xây dựng “trường học hạnh phúc” </w:t>
      </w:r>
      <w:r>
        <w:rPr>
          <w:rFonts w:ascii="Times New Roman" w:hAnsi="Times New Roman" w:eastAsia="Times New Roman"/>
          <w:color w:val="000000" w:themeColor="text1"/>
          <w:sz w:val="28"/>
          <w:szCs w:val="28"/>
          <w14:textFill>
            <w14:solidFill>
              <w14:schemeClr w14:val="tx1"/>
            </w14:solidFill>
          </w14:textFill>
        </w:rPr>
        <w:t>thông qua nhiều hoạt động định hướng tư tưởng, giáo dục, chia sẻ, truyền cảm hứng cho học sinh, nhắc nhở, rèn luyện thay vì kỷ luật học sinh,…</w:t>
      </w:r>
    </w:p>
    <w:p>
      <w:pPr>
        <w:pStyle w:val="23"/>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Tùy đặc thù từng bậc học, các trường triển khai và thực hiện nghiêm túc các văn bản chỉ đạo về thực hiện Chỉ thị số 19-CT/TU bằng các hoạt động cụ thể, thiết thực trong nhà trường; góp phần giáo dục, nâng cao ý thức bảo vệ môi trường cho học sinh. Mỗi cán bộ, giáo viên và học sinh cần có hành động thiết thực để bảo vệ môi trường, giữ gìn môi trường học đường “Xanh - Sạch - Đẹp”. </w:t>
      </w:r>
    </w:p>
    <w:p>
      <w:pPr>
        <w:pStyle w:val="23"/>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Triển khai thực hiện Chương trình phối hợp giai đoạn 2020-2025 giữa Thành đoàn thành phố Thủ Đức và Phòng Giáo dục và Đào tạo. Tổ chức công tác thanh niên, học sinh gắn với triển khai Chương trình công tác Đoàn, Đội và chương trình phối hợp hoạt động giữa ngành Giáo dục và Thành đoàn trong năm học 2021-2022. </w:t>
      </w:r>
    </w:p>
    <w:p>
      <w:pPr>
        <w:pStyle w:val="23"/>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Kiểm tra, chỉ đạo kiện toàn, nâng cao hiệu quả hoạt động của tổ chức Đoàn, Đội tại các cơ sở giáo dục ngoài công lập. Phát huy hiệu quả các hoạt động của tổ chức Đoàn, Đội trong trường học; thực hiện 5 điều Bác Hồ dạy thiếu niên và nhi đồng gắn với các hoạt động giáo dục bảo đảm thiết thực, hiệu quả góp phần ngày càng quan trọng hơn trong giáo dục toàn diện, nhất là giáo dục lý tưởng cách mạng, đạo đức, lối sống, kỹ năng sống, kiến thức pháp luật và ý thức công dân cho học sinh. Rà soát, quản lý chặt chẽ về nội dung, hình thức các trò chơi, hoạt động ngoại khóa của học sinh; không tổ chức cho học sinh tham gia các trò chơi (trên môi trường mạng hoặc tương tác trực tiếp) có nội dung, hình thức bạo lực, phản cảm, không phù hợp với văn hóa dân tộc, chuẩn mực đạo đức xã hội. </w:t>
      </w:r>
    </w:p>
    <w:p>
      <w:pPr>
        <w:pStyle w:val="23"/>
        <w:numPr>
          <w:ilvl w:val="0"/>
          <w:numId w:val="2"/>
        </w:numPr>
        <w:tabs>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Các cơ sở giáo dục tạo điều kiện để giáo viên chủ nhiệm, giáo viên phụ trách công tác Đoàn - Đội, giáo viên tư vấn tâm lý,... tham gia các đợt tập huấn nâng cao chuyên môn, nghiệp vụ do Sở Giáo dục và Đào tạo, Phòng Giáo dục và Đào tạo, Thành Đoàn, Hội đồng Đội thành phố Thủ Đức ... tổ chức.</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Tổ chức kiểm tra, khảo sát việc thực hiện công tác giáo dục chính trị tư tưởng, lý tưởng cách mạng, đạo đức lối sống, văn hóa ứng xử và hoạt động Đoàn, Đội,… tại các cơ sở giáo dục.</w:t>
      </w:r>
    </w:p>
    <w:p>
      <w:pPr>
        <w:tabs>
          <w:tab w:val="left" w:pos="900"/>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2. Công tác tuyên truyền, phổ biến và giáo dục pháp luật</w:t>
      </w:r>
      <w:r>
        <w:rPr>
          <w:rFonts w:ascii="Times New Roman" w:hAnsi="Times New Roman" w:eastAsia="Times New Roman"/>
          <w:color w:val="000000" w:themeColor="text1"/>
          <w:spacing w:val="-4"/>
          <w:sz w:val="28"/>
          <w:szCs w:val="28"/>
          <w14:textFill>
            <w14:solidFill>
              <w14:schemeClr w14:val="tx1"/>
            </w14:solidFill>
          </w14:textFill>
        </w:rPr>
        <w:t xml:space="preserve"> </w:t>
      </w:r>
    </w:p>
    <w:p>
      <w:pPr>
        <w:numPr>
          <w:ilvl w:val="0"/>
          <w:numId w:val="2"/>
        </w:numPr>
        <w:tabs>
          <w:tab w:val="left" w:pos="851"/>
          <w:tab w:val="left" w:pos="900"/>
          <w:tab w:val="left" w:pos="993"/>
        </w:tabs>
        <w:spacing w:before="120" w:after="120" w:line="240" w:lineRule="auto"/>
        <w:ind w:left="0" w:right="-7" w:firstLine="852"/>
        <w:jc w:val="both"/>
        <w:rPr>
          <w:rFonts w:ascii="Times New Roman" w:hAnsi="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Xây dựng và triển khai thực hiện tốt Kế hoạch công tác pháp chế năm học 2021-2022; Thực hiện có chất lượng, hiệu quả các văn bản chỉ đạo </w:t>
      </w:r>
      <w:r>
        <w:rPr>
          <w:rFonts w:ascii="Times New Roman" w:hAnsi="Times New Roman"/>
          <w:color w:val="000000" w:themeColor="text1"/>
          <w:sz w:val="28"/>
          <w:szCs w:val="28"/>
          <w14:textFill>
            <w14:solidFill>
              <w14:schemeClr w14:val="tx1"/>
            </w14:solidFill>
          </w14:textFill>
        </w:rPr>
        <w:t xml:space="preserve">nhằm nâng cao hiệu quả triển khai Đề án “Nâng cao chất lượng công tác phổ biến, giáo dục pháp luật trong nhà trường” đến năm 2021 (Quyết định số 705/QĐ-TTg ngày 25/5/2017 của Thủ tướng Chính phủ và Quyết định số 3957/QĐ-BGDĐT ngày 02/10/2017 của Bộ Giáo dục và Đào tạo). </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t xml:space="preserve">Chú trọng đổi mới hình thức, nội dung, phương pháp tuyên truyền, phổ biến, giáo dục pháp luật cho đội ngũ cán bộ, giáo viên, nhân viên và học sinh; đặc biệt, khai thác sử dụng có hiệu quả các trang thiết bị, công nghệ hiện đại, internet,… để nâng cao chất lượng, hiệu quả tuyên truyền, phổ biền, giáo dục pháp luật và phù hợp với từng đối tượng, cấp học, bậc học. </w:t>
      </w:r>
      <w:r>
        <w:rPr>
          <w:rFonts w:ascii="Times New Roman" w:hAnsi="Times New Roman" w:eastAsia="Times New Roman"/>
          <w:color w:val="000000" w:themeColor="text1"/>
          <w:spacing w:val="-4"/>
          <w:sz w:val="28"/>
          <w:szCs w:val="28"/>
          <w14:textFill>
            <w14:solidFill>
              <w14:schemeClr w14:val="tx1"/>
            </w14:solidFill>
          </w14:textFill>
        </w:rPr>
        <w:t>Tăng cường tổ chức các hoạt động giáo dục kiến thức pháp luật và ý thức công dân cho học sinh, góp phần giáo dục học sinh trở thành những công dân có những hiểu biết cơ bản về pháp luật, biết sống và làm việc theo Hiến pháp và Pháp luật.</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Thường xuyên cập nhật, rà soát, bổ sung, phổ biến văn bản quy phạm pháp luật, quy định mới, quy định cần thiết… cho đội ngũ cán bộ, giáo viên, nhân viên và học sinh; Tổ chức cho học sinh tham gia tốt Hội thi “Học sinh, sinh viên thành phố với pháp luật” năm học 2021-2022.</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b/>
          <w:color w:val="000000" w:themeColor="text1"/>
          <w:spacing w:val="-4"/>
          <w:sz w:val="28"/>
          <w:szCs w:val="28"/>
          <w14:textFill>
            <w14:solidFill>
              <w14:schemeClr w14:val="tx1"/>
            </w14:solidFill>
          </w14:textFill>
        </w:rPr>
        <w:t>3. Công tác tư vấn tâm lý, công tác xã hội trong trường học và hoạt động giáo dục kỹ năng sống, hoạt động giáo dục ngoài giờ chính khóa</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color w:val="000000" w:themeColor="text1"/>
          <w:spacing w:val="-4"/>
          <w:sz w:val="28"/>
          <w:szCs w:val="28"/>
          <w14:textFill>
            <w14:solidFill>
              <w14:schemeClr w14:val="tx1"/>
            </w14:solidFill>
          </w14:textFill>
        </w:rPr>
        <w:t xml:space="preserve">- Triển khai thực hiện hiệu quả </w:t>
      </w:r>
      <w:r>
        <w:rPr>
          <w:rFonts w:ascii="Times New Roman" w:hAnsi="Times New Roman" w:eastAsia="Times New Roman"/>
          <w:color w:val="000000" w:themeColor="text1"/>
          <w:spacing w:val="-4"/>
          <w:sz w:val="28"/>
          <w:szCs w:val="28"/>
          <w:highlight w:val="white"/>
          <w14:textFill>
            <w14:solidFill>
              <w14:schemeClr w14:val="tx1"/>
            </w14:solidFill>
          </w14:textFill>
        </w:rPr>
        <w:t xml:space="preserve">Thông tư 33/2018/TT-BGDĐT ngày 28/12/2018 của Bộ Giáo dục và Đào tạo hướng dẫn công tác xã hội trong trường học và </w:t>
      </w:r>
      <w:r>
        <w:rPr>
          <w:rFonts w:ascii="Times New Roman" w:hAnsi="Times New Roman" w:eastAsia="Times New Roman"/>
          <w:color w:val="000000" w:themeColor="text1"/>
          <w:spacing w:val="-4"/>
          <w:sz w:val="28"/>
          <w:szCs w:val="28"/>
          <w14:textFill>
            <w14:solidFill>
              <w14:schemeClr w14:val="tx1"/>
            </w14:solidFill>
          </w14:textFill>
        </w:rPr>
        <w:t>Thông tư số 31/2017/TT-BGDĐT ngày 28/12/2017 của Bộ Giáo dục và Đào tạo hướng dẫn công tác tư vấn tâm lý cho học sinh phổ thông</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w:t>
      </w: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color w:val="000000" w:themeColor="text1"/>
          <w:spacing w:val="-4"/>
          <w:sz w:val="28"/>
          <w:szCs w:val="28"/>
          <w14:textFill>
            <w14:solidFill>
              <w14:schemeClr w14:val="tx1"/>
            </w14:solidFill>
          </w14:textFill>
        </w:rPr>
        <w:t>Tiếp tục tăng cường công tác tư vấn tâm lý cho học sinh; nâng cao chất lượng, hiệu quả các hoạt động tư vấn học đường, đặc biệt là trong điều kiện nhiều học sinh bị ảnh hưởng nặng nề bởi dịch bệnh Covid-19; kịp thời</w:t>
      </w:r>
      <w:r>
        <w:rPr>
          <w:rFonts w:ascii="Times New Roman" w:hAnsi="Times New Roman"/>
          <w:sz w:val="28"/>
          <w:szCs w:val="28"/>
        </w:rPr>
        <w:t xml:space="preserve"> trợ giúp, tư vấn  </w:t>
      </w:r>
      <w:r>
        <w:rPr>
          <w:rFonts w:ascii="Times New Roman" w:hAnsi="Times New Roman" w:eastAsia="Times New Roman"/>
          <w:color w:val="000000" w:themeColor="text1"/>
          <w:spacing w:val="-4"/>
          <w:sz w:val="28"/>
          <w:szCs w:val="28"/>
          <w14:textFill>
            <w14:solidFill>
              <w14:schemeClr w14:val="tx1"/>
            </w14:solidFill>
          </w14:textFill>
        </w:rPr>
        <w:t>không để xảy ra những sự cố đáng tiếc liên quan đến tâm lý của học sinh; sử dụng hiệu quả tài liệu Thực hành tâm lý học đường dành cho học sinh phổ thông theo chỉ đạo, hướng dẫn của Bộ Giáo dục và Đào tạo.</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triển khai hoạt động công tác xã hội trong trường học với sự tham gia của các cơ quan, đơn vị trên địa bàn; xây dựng quy trình rà soát, phát hiện nguy cơ có ảnh hưởng tiêu cực đến học sinh, có kế hoạch phòng ngừa hiệu quả đối với các vấn đề phức tạp, hạn chế việc học sinh rơi vào hoàn cảnh đặc biệt.</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Các cơ sở giáo dục xây dựng kế hoạch tổ chức giảng dạy kỹ năng sống cho học sinh theo đúng quy định của Thông tư số 04/2014/TT-BGDĐT ngày 28/2/2014 của Bộ Giáo dục và Đào tạo về quản lý hoạt động giáo dục kỹ năng sống và hoạt động giáo dục ngoài giờ chính khóa của các cơ sở giáo dục.</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w:t>
      </w: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color w:val="000000" w:themeColor="text1"/>
          <w:spacing w:val="-4"/>
          <w:sz w:val="28"/>
          <w:szCs w:val="28"/>
          <w14:textFill>
            <w14:solidFill>
              <w14:schemeClr w14:val="tx1"/>
            </w14:solidFill>
          </w14:textFill>
        </w:rPr>
        <w:t>Mỗi cơ sở giáo dục cần chú trọng xây dựng các môi trường học tập linh hoạt, tổ chức các hoạt động trong giờ chính khóa, hoạt động buổi hai,… nhằm giúp học sinh có cơ hội được trang bị, rèn luyện và hình thành những kỹ năng thiết yếu,  hỗ trợ tốt cho hoạt động học tập và quá trình trưởng thành của học sinh;</w:t>
      </w:r>
      <w:r>
        <w:rPr>
          <w:rFonts w:ascii="Times New Roman" w:hAnsi="Times New Roman"/>
          <w:sz w:val="28"/>
          <w:szCs w:val="28"/>
          <w:lang w:eastAsia="zh-CN"/>
        </w:rPr>
        <w:t xml:space="preserve"> có kế hoạch bồi dưỡng, tập huấn để đội ngũ cán bộ, giáo viên, nhân viên trực tiếp tham gia tổ chức các hoạt động giáo dục, giảng dạy các kỹ năng sống cho học sinh.</w:t>
      </w:r>
      <w:r>
        <w:rPr>
          <w:rFonts w:ascii="Times New Roman" w:hAnsi="Times New Roman" w:eastAsia="Times New Roman"/>
          <w:color w:val="000000" w:themeColor="text1"/>
          <w:spacing w:val="-4"/>
          <w:sz w:val="28"/>
          <w:szCs w:val="28"/>
          <w14:textFill>
            <w14:solidFill>
              <w14:schemeClr w14:val="tx1"/>
            </w14:solidFill>
          </w14:textFill>
        </w:rPr>
        <w:t xml:space="preserve"> </w:t>
      </w:r>
    </w:p>
    <w:p>
      <w:pPr>
        <w:tabs>
          <w:tab w:val="left" w:pos="851"/>
          <w:tab w:val="left" w:pos="900"/>
          <w:tab w:val="left" w:pos="993"/>
        </w:tabs>
        <w:spacing w:before="120" w:after="0" w:line="240" w:lineRule="auto"/>
        <w:ind w:right="-7" w:firstLine="720"/>
        <w:jc w:val="both"/>
        <w:rPr>
          <w:rFonts w:ascii="Times New Roman" w:hAnsi="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w:t>
      </w: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t>Phòng Giáo dục và Đào tạo tăng cường kiểm tra hiệu quả hoạt động, chất lượng giảng dạy của các công ty, đơn vị được cấp phép tổ chức hoạt động giáo dục kỹ năng sống và hoạt động ngoài giờ chính khóa; khi tổ chức hoạt động tại các nhà trường phải thực hiện đầy đủ các quy định theo chỉ đạo, hướng dẫn của Sở Giáo dục và Đào tạo</w:t>
      </w:r>
    </w:p>
    <w:p>
      <w:pPr>
        <w:tabs>
          <w:tab w:val="left" w:pos="851"/>
          <w:tab w:val="left" w:pos="993"/>
        </w:tabs>
        <w:spacing w:before="120" w:after="0" w:line="240" w:lineRule="auto"/>
        <w:ind w:right="-7" w:firstLine="720"/>
        <w:jc w:val="both"/>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4. Công tác an ninh trật tự, an toàn trường học</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10"/>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 Xây dựng và tổ chức thực hiện Quy chế phối hợp giai đoạn 2021-2025; đảm bảo thực hiện tốt nhiệm vụ bảo vệ an ninh quốc gia và bảo đảm trật tự, an toàn xã hội, đấu tranh phòng, chống tội </w:t>
      </w:r>
      <w:r>
        <w:rPr>
          <w:rFonts w:ascii="Times New Roman" w:hAnsi="Times New Roman" w:eastAsia="Times New Roman"/>
          <w:color w:val="000000" w:themeColor="text1"/>
          <w:spacing w:val="-10"/>
          <w:sz w:val="28"/>
          <w:szCs w:val="28"/>
          <w14:textFill>
            <w14:solidFill>
              <w14:schemeClr w14:val="tx1"/>
            </w14:solidFill>
          </w14:textFill>
        </w:rPr>
        <w:t>phạm, vi phạm pháp luật khác trong ngành Giáo dục trên địa bàn thành phố Thủ Đức.</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Các cơ sở giáo dục tổ chức ký kết với Công an địa phương trong việc phối hợp thực hiện bảo đảm an ninh trật tự, an toàn trường học.</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Triển khai tổ chức thực hiện tốt Quyết định số 4458/QĐ-BGDĐT ngày 22/8/2007 quy định về xây dựng trường học an toàn, phòng chống tai nạn thương tích trong trường phổ thông và Thông tư 13/2010/TT-BGDĐT ngày 15/4/2010 quy định về xây dựng trường học an toàn, phòng, chống tai nạn thương tích trong cơ sở giáo dục mầm non. Đảm bảo tất cả các cơ sở giáo dục đều được chứng nhận Trường học an toàn phòng, chống tai nạn thương tích.</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Kế hoạch phối hợp số 5533/KH-BLĐTBXH-BGDĐT ngày 19/12/2019 giữa Bộ Giáo dục và Đào tạo với Bộ Lao động, Thương binh và Xã hội về phòng, chống bạo lực, xâm hại trẻ em trong các cơ sở giáo dục mầm non, giáo dục phổ thông đến năm 2025; triển khai Quyết định số 987/QĐ-BGDĐT ban hành kế hoạch hành động phòng ngừa, hỗ trợ, can thiệp bạo lực, xâm hại tình dục trẻ em trong các cơ sở giáo dục giai đoạn 2020-2025.</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w:t>
      </w: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color w:val="000000" w:themeColor="text1"/>
          <w:spacing w:val="-4"/>
          <w:sz w:val="28"/>
          <w:szCs w:val="28"/>
          <w14:textFill>
            <w14:solidFill>
              <w14:schemeClr w14:val="tx1"/>
            </w14:solidFill>
          </w14:textFill>
        </w:rPr>
        <w:t>Tiếp tục triển khai Nghị định số 80/NĐ-CP ngày 17/7/2017 của Chính phủ quy định về môi trường giáo dục an toàn, lành mạnh, thân thiện, phòng chống bạo lực học đường. Tăng cường công tác bảo đảm an toàn trường học, phòng, chống xâm hại trẻ em, phòng ngừa, hỗ trợ, can thiệp bạo lực, xâm hại tình dục trẻ em trong trường học; chú ý thực hiện nghiêm túc các quy định về môi trường giáo dục an toàn, lành mạnh, thân thiện, phòng chống bạo lực học đường. Từng bước áp dụng các mô hình “Xây dựng mối quan hệ tôn trọng và bình đẳng trong trường học”, “Trường học an toàn, thân thiện và bình đẳng”.</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Triển khai thực hiện tốt các văn bản chỉ đạo của Ủy ban An toàn Giao thông Quốc gia, Bộ Giáo dục và Đào tạo, UBND Thành phố về tăng cường công tác tuyên truyền, giáo dục an toàn giao thông trong trường học, chú trọng công tác bảo đảm an toàn giao thông cho học sinh trong và khu vực cổng trường, an toàn giao thông trên các xe đưa rước, kỹ năng tham gia giao thông an toàn, văn hóa giao thông và tổ chức các hoạt động hưởng ứng Tháng an toàn giao thông, tháng 9/2021.</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Các cơ sở giáo dục xây dựng kế hoạch và triển khai thực hiện có hiệu quả công tác đảm bảo an toàn, vệ sinh lao động, phòng chống cháy nổ trong đơn vị; có kế hoạch thống kê, kiểm soát, bảo quản, thu gom và xử lý các hóa chất độc hại nguy hiểm trong nhà trường; kịp thời sửa chữa hoặ đề xuất phương án sửa chữa, thay thế cơ sở vật chất, thiết bị dạy học đã quá cũ, quá hạn sử dụng có nguy cơ xảy ra tai nạn nhằm đảm bảo an toàn tuyệt đối cho học sinh.</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6"/>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ab/>
      </w:r>
      <w:r>
        <w:rPr>
          <w:rFonts w:ascii="Times New Roman" w:hAnsi="Times New Roman" w:eastAsia="Times New Roman"/>
          <w:color w:val="000000" w:themeColor="text1"/>
          <w:spacing w:val="-4"/>
          <w:sz w:val="28"/>
          <w:szCs w:val="28"/>
          <w14:textFill>
            <w14:solidFill>
              <w14:schemeClr w14:val="tx1"/>
            </w14:solidFill>
          </w14:textFill>
        </w:rPr>
        <w:t xml:space="preserve">Thực hiện Kế hoạch số 370/KH-BGDĐT ngày 08/6/2020 của Bộ Giáo dục và Đào tạo triển khai thực hiện Chỉ thị số 36-CT/TW ngày 16/8/2019 của Bộ Chính trị về tăng cường, nâng cao hiệu quả công tác phòng, chống và kiểm soát ma túy trong ngành Giáo dục.Tiếp tục thực hiện Quy định về công tác phòng chống tệ nạn ma túy trong các cơ sở giáo dục thuộc hệ thống giáo dục quốc dân (Thông tư số 31/2009/TT- BGDĐT ngày 23/10/2009); tăng cường các hoạt động tuyên truyền phòng, chống tội phạm, tệ nạn ma túy, mại dâm, đặc biệt là thời gian đầu năm học, sau kỳ nghỉ Tết và các đợt cao điểm; kế hoạch số 1567/KH-GDĐT ngày </w:t>
      </w:r>
      <w:r>
        <w:rPr>
          <w:rFonts w:ascii="Times New Roman" w:hAnsi="Times New Roman" w:eastAsia="Times New Roman"/>
          <w:color w:val="000000" w:themeColor="text1"/>
          <w:spacing w:val="-6"/>
          <w:sz w:val="28"/>
          <w:szCs w:val="28"/>
          <w14:textFill>
            <w14:solidFill>
              <w14:schemeClr w14:val="tx1"/>
            </w14:solidFill>
          </w14:textFill>
        </w:rPr>
        <w:t>11/12/2020 về triển khai thực hiện Công ước ASEAN về phòng, chống tội phạm buôn bán người, tội phạm giết người và phòng, chống tội phạm ma túy, HIV/AIDS, tệ nạn xã hội trong ngành Giáo dục giai đoạn 2021-2025, định hướng đến năm 2030.</w:t>
      </w:r>
    </w:p>
    <w:p>
      <w:pPr>
        <w:tabs>
          <w:tab w:val="left" w:pos="567"/>
          <w:tab w:val="left" w:pos="993"/>
        </w:tabs>
        <w:spacing w:before="120" w:after="0" w:line="240" w:lineRule="auto"/>
        <w:ind w:right="-7" w:firstLine="720"/>
        <w:jc w:val="both"/>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5. Công tác y tế trường học</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Tăng cường quán triệt, triển khai thực hiện nghiêm túc, kịp thời các văn bản chỉ đạo về công tác phòng, chống dịch bệnh Covid-19 của Trung ương, Thành phố, Sở Giáo dục và Đào tạo, chính quyền địa phương. Tuyệt đối không chủ quan, lơi lỏng, nắm chắc tình hình, chủ động phối hợp chặt chẽ với ngành y tế, xây dựng kế hoạch, kịch bản, đề ra các giải pháp hữu hiệu sẵn sàng, kịp thời ứng phó với các tình huống dịch bệnh có thể xảy ra tại các cơ sở giáo dục trong suốt cả năm học 2021-2022. </w:t>
      </w:r>
    </w:p>
    <w:p>
      <w:pPr>
        <w:pStyle w:val="23"/>
        <w:numPr>
          <w:ilvl w:val="0"/>
          <w:numId w:val="2"/>
        </w:numPr>
        <w:tabs>
          <w:tab w:val="left" w:pos="851"/>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Tiếp tục thực hiện nghiêm túc các văn bản quy phạm pháp luật về công tác y tế trường học theo Thông tư liên tịch số 13/2016/TTLT-BYT-BGDĐT ngày 12/5/2016; Phòng Giáo dục và Đào tạo phối hợp với Phòng Y tế xây dựng kế hoạch tổ chức kiểm tra, đánh giá tình hình thực hiện công tác y tế trường học; phối hợp cơ quan chuyên môn tổ chức các hội nghị, hội thảo, tập huấn về chuyên môn, nghiệp vụ y tế trường học.</w:t>
      </w:r>
    </w:p>
    <w:p>
      <w:pPr>
        <w:numPr>
          <w:ilvl w:val="0"/>
          <w:numId w:val="2"/>
        </w:numPr>
        <w:tabs>
          <w:tab w:val="left" w:pos="851"/>
          <w:tab w:val="left" w:pos="900"/>
          <w:tab w:val="left" w:pos="993"/>
        </w:tabs>
        <w:spacing w:before="120" w:after="0" w:line="240" w:lineRule="auto"/>
        <w:ind w:left="0"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Các cơ sở giáo dục phối hợp với Bảo hiểm thành phố tiếp tục hướng dẫn, tuyên truyền thực hiện Bảo hiểm y tế học sinh, bảo đảm quyền lợi được chăm sóc sức khỏe ban đầu của học sinh trong trường học. Phấn đấu đạt tỷ lệ 100% học sinh tham gia BHYT.</w:t>
      </w:r>
    </w:p>
    <w:p>
      <w:pPr>
        <w:pStyle w:val="23"/>
        <w:numPr>
          <w:ilvl w:val="0"/>
          <w:numId w:val="2"/>
        </w:numPr>
        <w:tabs>
          <w:tab w:val="left" w:pos="851"/>
          <w:tab w:val="left" w:pos="993"/>
        </w:tabs>
        <w:spacing w:before="120" w:after="0" w:line="240" w:lineRule="auto"/>
        <w:ind w:left="0" w:right="-7" w:firstLine="720"/>
        <w:jc w:val="both"/>
        <w:rPr>
          <w:rFonts w:ascii="Times New Roman" w:hAnsi="Times New Roman" w:eastAsia="Times New Roman"/>
          <w:color w:val="000000" w:themeColor="text1"/>
          <w:spacing w:val="-8"/>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Tiếp tục triển khai thực hiện có hiệu quả Kế hoạch liên tịch số 2908/KHLT-BQLATTP-GDĐT ngày 11/9/2020 của Ban Quản lý an toàn thực phẩm và Sở Giáo dục và Đào tạo về bảo đảm an toàn thực phẩm tại các cơ sở giáo dục trên địa bàn Thành phố Hồ Chí Minh từ năm 2020 đến hết năm 2022. Các đơn vị cần tăng cường công tác tự kiểm tra an toàn vệ sinh thực phẩm và cử nhân sự tham gia đầy đủ </w:t>
      </w:r>
      <w:r>
        <w:rPr>
          <w:rFonts w:ascii="Times New Roman" w:hAnsi="Times New Roman" w:eastAsia="Times New Roman"/>
          <w:color w:val="000000" w:themeColor="text1"/>
          <w:spacing w:val="-8"/>
          <w:sz w:val="28"/>
          <w:szCs w:val="28"/>
          <w14:textFill>
            <w14:solidFill>
              <w14:schemeClr w14:val="tx1"/>
            </w14:solidFill>
          </w14:textFill>
        </w:rPr>
        <w:t>các lớp tập huấn về công tác đảm bảo an toàn vệ sinh thực phẩm.</w:t>
      </w:r>
    </w:p>
    <w:p>
      <w:pPr>
        <w:numPr>
          <w:ilvl w:val="0"/>
          <w:numId w:val="2"/>
        </w:numPr>
        <w:tabs>
          <w:tab w:val="left" w:pos="851"/>
          <w:tab w:val="left" w:pos="900"/>
          <w:tab w:val="left" w:pos="993"/>
        </w:tabs>
        <w:spacing w:before="120" w:after="0" w:line="240" w:lineRule="auto"/>
        <w:ind w:left="0" w:right="-7" w:firstLine="709"/>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Triển khai thực hiện tốt các Đề án nhằm chăm sóc, bảo vệ, nâng cao sức khỏe, thể trạng của học sinh: Đề án “Bảo đảm dinh dưỡng hợp lý và tăng cường hoạt động thể lực cho trẻ em, HSSV để nâng cao sức khỏe, dự phòng bệnh ung thư, tim mạch, đái tháo đường, bệnh phổi tắc nghẽn mạn tính và hen phế quản giai đoạn 2018-2025” theo Quyết định số 41/QĐ-TTg ngày 08/1/2019 của Thủ tướng Chính phủ về việc phê duyệt; Đề án “Sức khỏe học đường”, “Sữa học đường”,…</w:t>
      </w:r>
    </w:p>
    <w:p>
      <w:pPr>
        <w:tabs>
          <w:tab w:val="left" w:pos="993"/>
        </w:tabs>
        <w:spacing w:before="120" w:after="0" w:line="240" w:lineRule="auto"/>
        <w:ind w:right="-7" w:firstLine="720"/>
        <w:jc w:val="both"/>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6. Các hoạt động văn hóa nghệ thuật, thể thao học đường</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Căn cứ tình hình thực tế, các cơ sở giáo dục chủ động phối hợp với các đơn vị chuyên môn tổ chức thường xuyên các hoạt động văn hóa, văn nghệ và khuyến khích học sinh tham gia các hoạt động văn hóa nghệ thuật, văn nghệ quần chúng, góp phần giáo dục truyền thống cách mạng, phát huy bản sắc văn hóa dân tộc, định hướng thị hiếu âm nhạc, giúp học sinh hướng tới các giá trị Chân - Thiện - Mỹ.</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 Tổ chức quảng bá, giới thiệu về nghệ thuật truyền thống dân tộc cho học sinh bằng nhiều hình thức: lồng ghép trong các tiết học, sinh hoạt chuyên đề, tổ chức biểu diễn các tiết sinh hoạt dưới cờ, các hội thi; tổ chức các câu lạc bộ âm nhạc truyền thống,… Qua đó, nâng cao nhận thức cho đối tượng học sinh về tiếp thu và kế thừa những bản sắc, tinh hoa của văn hóa – nghệ thuật truyền thống, góp phần xây dựng, gìn giữ nền văn hóa Việt Nam đậm đà bản sắc dân tộc. </w:t>
      </w:r>
    </w:p>
    <w:p>
      <w:pPr>
        <w:tabs>
          <w:tab w:val="left" w:pos="851"/>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 Tiếp tục tổ chức triển khai thực hiện Quyết định 1076/QĐ-TTg ngày 16 tháng 6 năm 2016 của Thủ tướng Chính phủ phê duyệt Đề án </w:t>
      </w:r>
      <w:r>
        <w:rPr>
          <w:rFonts w:ascii="Times New Roman" w:hAnsi="Times New Roman" w:eastAsia="Times New Roman"/>
          <w:i/>
          <w:color w:val="000000" w:themeColor="text1"/>
          <w:spacing w:val="-4"/>
          <w:sz w:val="28"/>
          <w:szCs w:val="28"/>
          <w14:textFill>
            <w14:solidFill>
              <w14:schemeClr w14:val="tx1"/>
            </w14:solidFill>
          </w14:textFill>
        </w:rPr>
        <w:t>“Tổng thể phát triển giáo dục thể chất và thể thao trường học giai đoạn 2020-2025”</w:t>
      </w:r>
      <w:r>
        <w:rPr>
          <w:rFonts w:ascii="Times New Roman" w:hAnsi="Times New Roman" w:eastAsia="Times New Roman"/>
          <w:color w:val="000000" w:themeColor="text1"/>
          <w:spacing w:val="-4"/>
          <w:sz w:val="28"/>
          <w:szCs w:val="28"/>
          <w14:textFill>
            <w14:solidFill>
              <w14:schemeClr w14:val="tx1"/>
            </w14:solidFill>
          </w14:textFill>
        </w:rPr>
        <w:t xml:space="preserve"> nhằm bồi dưỡng, rèn luyện ý thức, hình thành thói quen luyện tập thể dục, thể thao thường xuyên, góp phần cải thiện thể trạng và tầm vóc cho học sinh.</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Đưa việc tổ chức tập thể dục buổi sáng và thể dục giữa giờ thành hoạt động bắt buộc trong nội dung giáo dục thể chất, hoạt động thể thao trong các trường tiểu học và trung học cơ sở; Tiếp tục triển khai chương trình phổ cập bơi an toàn và phòng chống đuối nước nhằm trang bị kiến thức, kĩ năng về bơi và an toàn nước tránh các tai nạn đuối nước cho các em học sinh.</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 Các trường tiểu học và trung học cơ sở tổ chức nghiêm túc giải thể thao học sinh cấp trường và tích cực tham gia giải thể thao học sinh cấp thành phố,…góp phần thực hiện tốt Kế hoạch số 2479/KH-UBND ngày 26/7/2021 của Ủy ban nhân dân Thành phố về Triển khai thực hiện Đề án “Phát triển ngành Thể dục thể thao Thành phố Hồ Chí Minh đến năm 2035” trong năm 2021, định hướng đến năm 2025.  </w:t>
      </w:r>
    </w:p>
    <w:p>
      <w:pPr>
        <w:tabs>
          <w:tab w:val="left" w:pos="993"/>
        </w:tabs>
        <w:spacing w:before="120" w:after="0" w:line="240" w:lineRule="auto"/>
        <w:ind w:right="-7" w:firstLine="720"/>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 xml:space="preserve">III. TỔ CHỨC THỰC HIỆN </w:t>
      </w:r>
    </w:p>
    <w:p>
      <w:pPr>
        <w:numPr>
          <w:ilvl w:val="0"/>
          <w:numId w:val="4"/>
        </w:numPr>
        <w:tabs>
          <w:tab w:val="left" w:pos="993"/>
        </w:tabs>
        <w:spacing w:before="120" w:after="0" w:line="240" w:lineRule="auto"/>
        <w:ind w:left="0" w:right="-7" w:firstLine="720"/>
        <w:jc w:val="both"/>
        <w:rPr>
          <w:rFonts w:ascii="Times New Roman" w:hAnsi="Times New Roman" w:eastAsia="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Phòng GD&amp;ĐT thành phố Thủ Đức</w:t>
      </w:r>
    </w:p>
    <w:p>
      <w:pPr>
        <w:tabs>
          <w:tab w:val="left" w:pos="993"/>
        </w:tabs>
        <w:spacing w:before="120" w:after="0" w:line="240" w:lineRule="auto"/>
        <w:ind w:right="-7" w:firstLine="720"/>
        <w:jc w:val="both"/>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xml:space="preserve">- Xây dựng, triển khai kế hoạch Công tác chính trị tư tưởng năm học 2021-2022 đến các cơ sở giáo dục trên địa bàn thành phố Thủ Đức; chỉ đạo, hướng </w:t>
      </w:r>
      <w:r>
        <w:rPr>
          <w:rFonts w:ascii="Times New Roman" w:hAnsi="Times New Roman" w:eastAsia="Times New Roman"/>
          <w:color w:val="000000" w:themeColor="text1"/>
          <w:spacing w:val="-8"/>
          <w:sz w:val="28"/>
          <w:szCs w:val="28"/>
          <w14:textFill>
            <w14:solidFill>
              <w14:schemeClr w14:val="tx1"/>
            </w14:solidFill>
          </w14:textFill>
        </w:rPr>
        <w:t xml:space="preserve">dẫn các cơ sở giáo dục </w:t>
      </w:r>
      <w:r>
        <w:rPr>
          <w:rFonts w:ascii="Times New Roman" w:hAnsi="Times New Roman" w:eastAsia="Times New Roman"/>
          <w:bCs/>
          <w:color w:val="000000" w:themeColor="text1"/>
          <w:sz w:val="28"/>
          <w:szCs w:val="28"/>
          <w14:textFill>
            <w14:solidFill>
              <w14:schemeClr w14:val="tx1"/>
            </w14:solidFill>
          </w14:textFill>
        </w:rPr>
        <w:t xml:space="preserve">thực hiện những nội dung, hoạt động cụ thể của Công tác chính trị tư tưởng trong năm học.  </w:t>
      </w:r>
    </w:p>
    <w:p>
      <w:pPr>
        <w:tabs>
          <w:tab w:val="left" w:pos="993"/>
        </w:tabs>
        <w:spacing w:before="120" w:after="0" w:line="240" w:lineRule="auto"/>
        <w:ind w:right="-7" w:firstLine="720"/>
        <w:jc w:val="both"/>
        <w:rPr>
          <w:rFonts w:ascii="Times New Roman" w:hAnsi="Times New Roman" w:eastAsia="Times New Roman"/>
          <w:color w:val="000000" w:themeColor="text1"/>
          <w:spacing w:val="-10"/>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xml:space="preserve">- Phối hợp với Thành Đoàn và các phòng, ban có liên quan triển khai tổ chức các </w:t>
      </w:r>
      <w:r>
        <w:rPr>
          <w:rFonts w:ascii="Times New Roman" w:hAnsi="Times New Roman" w:eastAsia="Times New Roman"/>
          <w:color w:val="000000" w:themeColor="text1"/>
          <w:spacing w:val="-10"/>
          <w:sz w:val="28"/>
          <w:szCs w:val="28"/>
          <w14:textFill>
            <w14:solidFill>
              <w14:schemeClr w14:val="tx1"/>
            </w14:solidFill>
          </w14:textFill>
        </w:rPr>
        <w:t xml:space="preserve">hoạt động trong kế hoạch công tác chính trị tư tưởng năm học 2021-2022. </w:t>
      </w:r>
    </w:p>
    <w:p>
      <w:pPr>
        <w:tabs>
          <w:tab w:val="left" w:pos="993"/>
        </w:tabs>
        <w:spacing w:before="120" w:after="0" w:line="240" w:lineRule="auto"/>
        <w:ind w:right="-7" w:firstLine="720"/>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Theo dõi tiến độ thực hiện, kiểm tra, giám sát hoạt động công tác chính trị tư tưởng của các cơ sở giáo dục.</w:t>
      </w:r>
    </w:p>
    <w:p>
      <w:pPr>
        <w:tabs>
          <w:tab w:val="left" w:pos="993"/>
        </w:tabs>
        <w:spacing w:before="120" w:after="0" w:line="240" w:lineRule="auto"/>
        <w:ind w:right="-7" w:firstLine="720"/>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Sơ kết, tổng kết, báo cáo kết quả thực hiện công tác Chính trị tư tưởng năm học 2021-2022 theo quy định.</w:t>
      </w:r>
    </w:p>
    <w:p>
      <w:pPr>
        <w:numPr>
          <w:ilvl w:val="0"/>
          <w:numId w:val="4"/>
        </w:numPr>
        <w:tabs>
          <w:tab w:val="left" w:pos="993"/>
        </w:tabs>
        <w:spacing w:before="120" w:after="0" w:line="240" w:lineRule="auto"/>
        <w:ind w:left="0" w:right="-7" w:firstLine="720"/>
        <w:jc w:val="both"/>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Các cơ sở giáo dục và đơn vị trực thuộc</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 Thủ trưởng các cơ sở giáo dục xây dựng kế hoạch </w:t>
      </w:r>
      <w:r>
        <w:rPr>
          <w:rFonts w:ascii="Times New Roman" w:hAnsi="Times New Roman" w:eastAsia="Times New Roman"/>
          <w:color w:val="000000" w:themeColor="text1"/>
          <w:sz w:val="28"/>
          <w:szCs w:val="28"/>
          <w14:textFill>
            <w14:solidFill>
              <w14:schemeClr w14:val="tx1"/>
            </w14:solidFill>
          </w14:textFill>
        </w:rPr>
        <w:t>công tác Chính trị tư tưởng năm học 2021-2022</w:t>
      </w:r>
      <w:r>
        <w:rPr>
          <w:rFonts w:ascii="Times New Roman" w:hAnsi="Times New Roman" w:eastAsia="Times New Roman"/>
          <w:color w:val="000000" w:themeColor="text1"/>
          <w:spacing w:val="-4"/>
          <w:sz w:val="28"/>
          <w:szCs w:val="28"/>
          <w14:textFill>
            <w14:solidFill>
              <w14:schemeClr w14:val="tx1"/>
            </w14:solidFill>
          </w14:textFill>
        </w:rPr>
        <w:t xml:space="preserve">; </w:t>
      </w:r>
      <w:r>
        <w:rPr>
          <w:rFonts w:ascii="Times New Roman" w:hAnsi="Times New Roman" w:eastAsia="Times New Roman"/>
          <w:bCs/>
          <w:color w:val="000000" w:themeColor="text1"/>
          <w:sz w:val="28"/>
          <w:szCs w:val="28"/>
          <w14:textFill>
            <w14:solidFill>
              <w14:schemeClr w14:val="tx1"/>
            </w14:solidFill>
          </w14:textFill>
        </w:rPr>
        <w:t>Chủ động, tích cực xác định những nội dung trọng tâm và đề ra các giải pháp phù hợp với điều kiện thực tiễn của đơn vị, tình hình dịch bệnh COVID-19 để thực hiện tốt Công tác chính trị tư tưởng</w:t>
      </w:r>
      <w:r>
        <w:rPr>
          <w:rFonts w:ascii="Times New Roman" w:hAnsi="Times New Roman" w:eastAsia="Times New Roman"/>
          <w:color w:val="000000" w:themeColor="text1"/>
          <w:sz w:val="28"/>
          <w:szCs w:val="28"/>
          <w14:textFill>
            <w14:solidFill>
              <w14:schemeClr w14:val="tx1"/>
            </w14:solidFill>
          </w14:textFill>
        </w:rPr>
        <w:t xml:space="preserve"> năm học 2021-2022</w:t>
      </w:r>
      <w:r>
        <w:rPr>
          <w:rFonts w:ascii="Times New Roman" w:hAnsi="Times New Roman" w:eastAsia="Times New Roman"/>
          <w:bCs/>
          <w:color w:val="000000" w:themeColor="text1"/>
          <w:sz w:val="28"/>
          <w:szCs w:val="28"/>
          <w14:textFill>
            <w14:solidFill>
              <w14:schemeClr w14:val="tx1"/>
            </w14:solidFill>
          </w14:textFill>
        </w:rPr>
        <w:t>.</w:t>
      </w:r>
    </w:p>
    <w:p>
      <w:pPr>
        <w:tabs>
          <w:tab w:val="left" w:pos="720"/>
        </w:tabs>
        <w:spacing w:before="120" w:after="0" w:line="240" w:lineRule="auto"/>
        <w:ind w:right="-7"/>
        <w:jc w:val="both"/>
        <w:rPr>
          <w:rFonts w:ascii="Times New Roman" w:hAnsi="Times New Roman" w:eastAsia="Times New Roman"/>
          <w:color w:val="FF0000"/>
          <w:spacing w:val="-4"/>
          <w:sz w:val="28"/>
          <w:szCs w:val="28"/>
        </w:rPr>
      </w:pPr>
      <w:r>
        <w:rPr>
          <w:rFonts w:ascii="Times New Roman" w:hAnsi="Times New Roman" w:eastAsia="Times New Roman"/>
          <w:spacing w:val="-4"/>
          <w:sz w:val="28"/>
          <w:szCs w:val="28"/>
        </w:rPr>
        <w:tab/>
      </w:r>
      <w:r>
        <w:rPr>
          <w:rFonts w:ascii="Times New Roman" w:hAnsi="Times New Roman" w:eastAsia="Times New Roman"/>
          <w:spacing w:val="-4"/>
          <w:sz w:val="28"/>
          <w:szCs w:val="28"/>
        </w:rPr>
        <w:t>- Thực hiện công tác tự kiểm tra và lưu trữ hồ sơ đầy đủ theo qui định.</w:t>
      </w:r>
    </w:p>
    <w:p>
      <w:pPr>
        <w:tabs>
          <w:tab w:val="left" w:pos="720"/>
        </w:tabs>
        <w:spacing w:before="120" w:after="0" w:line="240" w:lineRule="auto"/>
        <w:ind w:right="-7"/>
        <w:jc w:val="both"/>
        <w:rPr>
          <w:rFonts w:hint="default" w:ascii="Times New Roman" w:hAnsi="Times New Roman" w:eastAsia="Times New Roman"/>
          <w:color w:val="FF0000"/>
          <w:spacing w:val="-4"/>
          <w:sz w:val="28"/>
          <w:szCs w:val="28"/>
          <w:lang w:val="en-US"/>
        </w:rPr>
      </w:pPr>
      <w:r>
        <w:rPr>
          <w:rFonts w:ascii="Times New Roman" w:hAnsi="Times New Roman" w:eastAsia="Times New Roman"/>
          <w:bCs/>
          <w:color w:val="000000" w:themeColor="text1"/>
          <w:sz w:val="28"/>
          <w:szCs w:val="28"/>
          <w14:textFill>
            <w14:solidFill>
              <w14:schemeClr w14:val="tx1"/>
            </w14:solidFill>
          </w14:textFill>
        </w:rPr>
        <w:tab/>
      </w:r>
      <w:r>
        <w:rPr>
          <w:rFonts w:ascii="Times New Roman" w:hAnsi="Times New Roman" w:eastAsia="Times New Roman"/>
          <w:bCs/>
          <w:color w:val="000000" w:themeColor="text1"/>
          <w:sz w:val="28"/>
          <w:szCs w:val="28"/>
          <w14:textFill>
            <w14:solidFill>
              <w14:schemeClr w14:val="tx1"/>
            </w14:solidFill>
          </w14:textFill>
        </w:rPr>
        <w:t xml:space="preserve">- </w:t>
      </w:r>
      <w:r>
        <w:rPr>
          <w:rFonts w:ascii="Times New Roman" w:hAnsi="Times New Roman" w:eastAsia="Times New Roman"/>
          <w:color w:val="000000" w:themeColor="text1"/>
          <w:spacing w:val="-4"/>
          <w:sz w:val="28"/>
          <w:szCs w:val="28"/>
          <w14:textFill>
            <w14:solidFill>
              <w14:schemeClr w14:val="tx1"/>
            </w14:solidFill>
          </w14:textFill>
        </w:rPr>
        <w:t xml:space="preserve">Tổ chức sơ kết, tổng kết và </w:t>
      </w:r>
      <w:r>
        <w:rPr>
          <w:rFonts w:ascii="Times New Roman" w:hAnsi="Times New Roman" w:eastAsia="Times New Roman"/>
          <w:color w:val="000000" w:themeColor="text1"/>
          <w:sz w:val="28"/>
          <w:szCs w:val="28"/>
          <w14:textFill>
            <w14:solidFill>
              <w14:schemeClr w14:val="tx1"/>
            </w14:solidFill>
          </w14:textFill>
        </w:rPr>
        <w:t xml:space="preserve">báo cáo kết quả thực hiện công tác Chính trị tư tưởng năm học 2021-2022 </w:t>
      </w:r>
      <w:r>
        <w:rPr>
          <w:rFonts w:ascii="Times New Roman" w:hAnsi="Times New Roman" w:eastAsia="Times New Roman"/>
          <w:color w:val="000000" w:themeColor="text1"/>
          <w:spacing w:val="-4"/>
          <w:sz w:val="28"/>
          <w:szCs w:val="28"/>
          <w14:textFill>
            <w14:solidFill>
              <w14:schemeClr w14:val="tx1"/>
            </w14:solidFill>
          </w14:textFill>
        </w:rPr>
        <w:t>vào thời điểm kết thúc Học kỳ 1</w:t>
      </w:r>
      <w:r>
        <w:rPr>
          <w:rFonts w:hint="default" w:ascii="Times New Roman" w:hAnsi="Times New Roman" w:eastAsia="Times New Roman"/>
          <w:color w:val="000000" w:themeColor="text1"/>
          <w:spacing w:val="-4"/>
          <w:sz w:val="28"/>
          <w:szCs w:val="28"/>
          <w:lang w:val="en-US"/>
          <w14:textFill>
            <w14:solidFill>
              <w14:schemeClr w14:val="tx1"/>
            </w14:solidFill>
          </w14:textFill>
        </w:rPr>
        <w:t xml:space="preserve"> (10/1/2021)</w:t>
      </w:r>
      <w:r>
        <w:rPr>
          <w:rFonts w:ascii="Times New Roman" w:hAnsi="Times New Roman" w:eastAsia="Times New Roman"/>
          <w:color w:val="000000" w:themeColor="text1"/>
          <w:spacing w:val="-4"/>
          <w:sz w:val="28"/>
          <w:szCs w:val="28"/>
          <w14:textFill>
            <w14:solidFill>
              <w14:schemeClr w14:val="tx1"/>
            </w14:solidFill>
          </w14:textFill>
        </w:rPr>
        <w:t xml:space="preserve"> và cuối năm học </w:t>
      </w:r>
      <w:r>
        <w:rPr>
          <w:rFonts w:hint="default" w:ascii="Times New Roman" w:hAnsi="Times New Roman" w:eastAsia="Times New Roman"/>
          <w:color w:val="000000" w:themeColor="text1"/>
          <w:spacing w:val="-4"/>
          <w:sz w:val="28"/>
          <w:szCs w:val="28"/>
          <w:lang w:val="en-US"/>
          <w14:textFill>
            <w14:solidFill>
              <w14:schemeClr w14:val="tx1"/>
            </w14:solidFill>
          </w14:textFill>
        </w:rPr>
        <w:t>(10/5/2021) gửi về Phòng Giáo dục và Đào tạo thành phố Thủ Đức qua địa chỉ email: htmnguyet.tpthuduc@hcm.gov.vn</w:t>
      </w:r>
    </w:p>
    <w:p>
      <w:pPr>
        <w:tabs>
          <w:tab w:val="left" w:pos="993"/>
        </w:tabs>
        <w:spacing w:before="120" w:after="0" w:line="240" w:lineRule="auto"/>
        <w:ind w:right="-7" w:firstLine="720"/>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Trên đây là kế hoạch Công tác chính trị tư tưởng năm học 2021-2022, Phòng Giáo dục và Đào tạo đề nghị thủ trưởng đơn vị nghiêm túc triển khai thực hiện. ./.</w:t>
      </w:r>
    </w:p>
    <w:p>
      <w:pPr>
        <w:spacing w:before="60" w:after="60" w:line="240" w:lineRule="auto"/>
        <w:ind w:firstLine="567"/>
        <w:jc w:val="both"/>
        <w:rPr>
          <w:rFonts w:ascii="Times New Roman" w:hAnsi="Times New Roman" w:eastAsia="Times New Roman"/>
          <w:color w:val="000000" w:themeColor="text1"/>
          <w:spacing w:val="-4"/>
          <w:sz w:val="28"/>
          <w:szCs w:val="28"/>
          <w14:textFill>
            <w14:solidFill>
              <w14:schemeClr w14:val="tx1"/>
            </w14:solidFill>
          </w14:textFill>
        </w:rPr>
      </w:pPr>
    </w:p>
    <w:tbl>
      <w:tblPr>
        <w:tblStyle w:val="33"/>
        <w:tblW w:w="8725" w:type="dxa"/>
        <w:tblInd w:w="0" w:type="dxa"/>
        <w:tblLayout w:type="fixed"/>
        <w:tblCellMar>
          <w:top w:w="0" w:type="dxa"/>
          <w:left w:w="108" w:type="dxa"/>
          <w:bottom w:w="0" w:type="dxa"/>
          <w:right w:w="108" w:type="dxa"/>
        </w:tblCellMar>
      </w:tblPr>
      <w:tblGrid>
        <w:gridCol w:w="4786"/>
        <w:gridCol w:w="3939"/>
      </w:tblGrid>
      <w:tr>
        <w:tblPrEx>
          <w:tblCellMar>
            <w:top w:w="0" w:type="dxa"/>
            <w:left w:w="108" w:type="dxa"/>
            <w:bottom w:w="0" w:type="dxa"/>
            <w:right w:w="108" w:type="dxa"/>
          </w:tblCellMar>
        </w:tblPrEx>
        <w:tc>
          <w:tcPr>
            <w:tcW w:w="4786" w:type="dxa"/>
            <w:shd w:val="clear" w:color="auto" w:fill="auto"/>
            <w:tcMar>
              <w:top w:w="0" w:type="dxa"/>
              <w:left w:w="108" w:type="dxa"/>
              <w:bottom w:w="0" w:type="dxa"/>
              <w:right w:w="108" w:type="dxa"/>
            </w:tcMar>
          </w:tcPr>
          <w:p>
            <w:pPr>
              <w:spacing w:after="0" w:line="240" w:lineRule="auto"/>
              <w:ind w:left="100"/>
              <w:rPr>
                <w:rFonts w:ascii="Times New Roman" w:hAnsi="Times New Roman" w:eastAsia="Times New Roman"/>
                <w:b/>
                <w:i/>
                <w:color w:val="000000" w:themeColor="text1"/>
                <w:spacing w:val="-4"/>
                <w:sz w:val="28"/>
                <w:szCs w:val="28"/>
                <w14:textFill>
                  <w14:solidFill>
                    <w14:schemeClr w14:val="tx1"/>
                  </w14:solidFill>
                </w14:textFill>
              </w:rPr>
            </w:pPr>
            <w:r>
              <w:rPr>
                <w:rFonts w:ascii="Times New Roman" w:hAnsi="Times New Roman" w:eastAsia="Times New Roman"/>
                <w:b/>
                <w:i/>
                <w:color w:val="000000" w:themeColor="text1"/>
                <w:spacing w:val="-4"/>
                <w:sz w:val="28"/>
                <w:szCs w:val="28"/>
                <w14:textFill>
                  <w14:solidFill>
                    <w14:schemeClr w14:val="tx1"/>
                  </w14:solidFill>
                </w14:textFill>
              </w:rPr>
              <w:t>Nơi nhận:</w:t>
            </w:r>
          </w:p>
          <w:p>
            <w:pPr>
              <w:numPr>
                <w:ilvl w:val="0"/>
                <w:numId w:val="5"/>
              </w:numPr>
              <w:tabs>
                <w:tab w:val="left" w:pos="284"/>
              </w:tabs>
              <w:spacing w:after="0" w:line="240" w:lineRule="auto"/>
              <w:ind w:left="284" w:hanging="142"/>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Phòng CTTT (Sở GD&amp;ĐT);</w:t>
            </w:r>
          </w:p>
          <w:p>
            <w:pPr>
              <w:numPr>
                <w:ilvl w:val="0"/>
                <w:numId w:val="5"/>
              </w:numPr>
              <w:tabs>
                <w:tab w:val="left" w:pos="284"/>
              </w:tabs>
              <w:spacing w:after="0" w:line="240" w:lineRule="auto"/>
              <w:ind w:left="284" w:hanging="142"/>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Các trường MN, TH, THCS;</w:t>
            </w:r>
          </w:p>
          <w:p>
            <w:pPr>
              <w:numPr>
                <w:ilvl w:val="0"/>
                <w:numId w:val="5"/>
              </w:numPr>
              <w:tabs>
                <w:tab w:val="left" w:pos="284"/>
              </w:tabs>
              <w:spacing w:after="0" w:line="240" w:lineRule="auto"/>
              <w:ind w:left="284" w:hanging="142"/>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Đơn vị trực thuộc;</w:t>
            </w:r>
          </w:p>
          <w:p>
            <w:pPr>
              <w:tabs>
                <w:tab w:val="left" w:pos="284"/>
              </w:tabs>
              <w:spacing w:after="0" w:line="240" w:lineRule="auto"/>
              <w:ind w:left="284" w:hanging="142"/>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Lưu: VT, CTTT.</w:t>
            </w:r>
          </w:p>
          <w:p>
            <w:pPr>
              <w:tabs>
                <w:tab w:val="left" w:pos="284"/>
              </w:tabs>
              <w:spacing w:after="0" w:line="240" w:lineRule="auto"/>
              <w:ind w:left="284" w:hanging="142"/>
              <w:rPr>
                <w:rFonts w:ascii="Times New Roman" w:hAnsi="Times New Roman" w:eastAsia="Times New Roman"/>
                <w:color w:val="000000" w:themeColor="text1"/>
                <w:spacing w:val="-4"/>
                <w:sz w:val="28"/>
                <w:szCs w:val="28"/>
                <w14:textFill>
                  <w14:solidFill>
                    <w14:schemeClr w14:val="tx1"/>
                  </w14:solidFill>
                </w14:textFill>
              </w:rPr>
            </w:pPr>
          </w:p>
        </w:tc>
        <w:tc>
          <w:tcPr>
            <w:tcW w:w="3939" w:type="dxa"/>
            <w:shd w:val="clear" w:color="auto" w:fill="auto"/>
            <w:tcMar>
              <w:top w:w="0" w:type="dxa"/>
              <w:left w:w="108" w:type="dxa"/>
              <w:bottom w:w="0" w:type="dxa"/>
              <w:right w:w="108" w:type="dxa"/>
            </w:tcMar>
          </w:tcPr>
          <w:p>
            <w:pPr>
              <w:spacing w:after="0" w:line="240" w:lineRule="auto"/>
              <w:ind w:left="60"/>
              <w:jc w:val="center"/>
              <w:rPr>
                <w:rFonts w:ascii="Times New Roman" w:hAnsi="Times New Roman" w:eastAsia="Times New Roman"/>
                <w:b/>
                <w:color w:val="000000" w:themeColor="text1"/>
                <w:spacing w:val="-4"/>
                <w:sz w:val="28"/>
                <w:szCs w:val="28"/>
                <w14:textFill>
                  <w14:solidFill>
                    <w14:schemeClr w14:val="tx1"/>
                  </w14:solidFill>
                </w14:textFill>
              </w:rPr>
            </w:pPr>
            <w:bookmarkStart w:id="0" w:name="_heading=h.gjdgxs" w:colFirst="0" w:colLast="0"/>
            <w:bookmarkEnd w:id="0"/>
            <w:r>
              <w:rPr>
                <w:rFonts w:ascii="Times New Roman" w:hAnsi="Times New Roman" w:eastAsia="Times New Roman"/>
                <w:b/>
                <w:color w:val="000000" w:themeColor="text1"/>
                <w:spacing w:val="-4"/>
                <w:sz w:val="28"/>
                <w:szCs w:val="28"/>
                <w14:textFill>
                  <w14:solidFill>
                    <w14:schemeClr w14:val="tx1"/>
                  </w14:solidFill>
                </w14:textFill>
              </w:rPr>
              <w:t>TRƯỞNG PHÒNG</w:t>
            </w: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Nguyễn Thái Vĩnh Nguyên</w:t>
            </w:r>
          </w:p>
        </w:tc>
      </w:tr>
    </w:tbl>
    <w:p>
      <w:pPr>
        <w:spacing w:after="0" w:line="276" w:lineRule="auto"/>
        <w:rPr>
          <w:rFonts w:ascii="Times New Roman" w:hAnsi="Times New Roman" w:eastAsia="Times New Roman"/>
          <w:color w:val="000000" w:themeColor="text1"/>
          <w:spacing w:val="-4"/>
          <w:sz w:val="28"/>
          <w:szCs w:val="28"/>
          <w14:textFill>
            <w14:solidFill>
              <w14:schemeClr w14:val="tx1"/>
            </w14:solidFill>
          </w14:textFill>
        </w:rPr>
      </w:pPr>
    </w:p>
    <w:p>
      <w:pPr>
        <w:tabs>
          <w:tab w:val="left" w:pos="2442"/>
        </w:tabs>
        <w:spacing w:after="0" w:line="276" w:lineRule="auto"/>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ab/>
      </w:r>
    </w:p>
    <w:p>
      <w:pPr>
        <w:tabs>
          <w:tab w:val="left" w:pos="2442"/>
        </w:tabs>
        <w:spacing w:after="0" w:line="276" w:lineRule="auto"/>
        <w:rPr>
          <w:rFonts w:ascii="Times New Roman" w:hAnsi="Times New Roman" w:eastAsia="Times New Roman"/>
          <w:color w:val="000000" w:themeColor="text1"/>
          <w:spacing w:val="-4"/>
          <w:sz w:val="28"/>
          <w:szCs w:val="28"/>
          <w14:textFill>
            <w14:solidFill>
              <w14:schemeClr w14:val="tx1"/>
            </w14:solidFill>
          </w14:textFill>
        </w:rPr>
      </w:pPr>
    </w:p>
    <w:p>
      <w:pP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br w:type="page"/>
      </w:r>
    </w:p>
    <w:p>
      <w:pPr>
        <w:tabs>
          <w:tab w:val="left" w:pos="2442"/>
        </w:tabs>
        <w:spacing w:after="0" w:line="276" w:lineRule="auto"/>
        <w:rPr>
          <w:rFonts w:ascii="Times New Roman" w:hAnsi="Times New Roman" w:eastAsia="Times New Roman"/>
          <w:color w:val="000000" w:themeColor="text1"/>
          <w:spacing w:val="-4"/>
          <w:sz w:val="28"/>
          <w:szCs w:val="28"/>
          <w14:textFill>
            <w14:solidFill>
              <w14:schemeClr w14:val="tx1"/>
            </w14:solidFill>
          </w14:textFill>
        </w:rPr>
      </w:pPr>
      <w:bookmarkStart w:id="1" w:name="_GoBack"/>
      <w:bookmarkEnd w:id="1"/>
    </w:p>
    <w:p>
      <w:pPr>
        <w:spacing w:after="0" w:line="276" w:lineRule="auto"/>
        <w:jc w:val="center"/>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LỊCH CÔNG TÁC CHÍNH TRỊ TƯ TƯỞNG</w:t>
      </w:r>
    </w:p>
    <w:p>
      <w:pPr>
        <w:spacing w:after="0" w:line="276" w:lineRule="auto"/>
        <w:jc w:val="center"/>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NĂM HỌC 2021-2022</w:t>
      </w:r>
    </w:p>
    <w:p>
      <w:pPr>
        <w:spacing w:after="0" w:line="240" w:lineRule="auto"/>
        <w:jc w:val="center"/>
        <w:rPr>
          <w:rFonts w:ascii="Times New Roman" w:hAnsi="Times New Roman" w:eastAsia="Times New Roman"/>
          <w:i/>
          <w:color w:val="000000" w:themeColor="text1"/>
          <w:spacing w:val="-4"/>
          <w:sz w:val="28"/>
          <w:szCs w:val="28"/>
          <w14:textFill>
            <w14:solidFill>
              <w14:schemeClr w14:val="tx1"/>
            </w14:solidFill>
          </w14:textFill>
        </w:rPr>
      </w:pPr>
      <w:r>
        <w:rPr>
          <w:rFonts w:ascii="Times New Roman" w:hAnsi="Times New Roman" w:eastAsia="Times New Roman"/>
          <w:i/>
          <w:color w:val="000000" w:themeColor="text1"/>
          <w:spacing w:val="-4"/>
          <w:sz w:val="28"/>
          <w:szCs w:val="28"/>
          <w14:textFill>
            <w14:solidFill>
              <w14:schemeClr w14:val="tx1"/>
            </w14:solidFill>
          </w14:textFill>
        </w:rPr>
        <w:t>(Đính kèm Kế hoạch số:          /KH-GDĐT ngày       /9/2021)</w:t>
      </w:r>
    </w:p>
    <w:p>
      <w:pPr>
        <w:spacing w:after="0" w:line="240" w:lineRule="auto"/>
        <w:jc w:val="center"/>
        <w:rPr>
          <w:rFonts w:ascii="Times New Roman" w:hAnsi="Times New Roman" w:eastAsia="Times New Roman"/>
          <w:i/>
          <w:color w:val="000000" w:themeColor="text1"/>
          <w:spacing w:val="-4"/>
          <w:sz w:val="28"/>
          <w:szCs w:val="28"/>
          <w14:textFill>
            <w14:solidFill>
              <w14:schemeClr w14:val="tx1"/>
            </w14:solidFill>
          </w14:textFill>
        </w:rPr>
      </w:pPr>
    </w:p>
    <w:tbl>
      <w:tblPr>
        <w:tblStyle w:val="34"/>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blHeader/>
        </w:trPr>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THÁNG</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b/>
                <w:color w:val="000000" w:themeColor="text1"/>
                <w:spacing w:val="-4"/>
                <w:sz w:val="28"/>
                <w:szCs w:val="28"/>
                <w14:textFill>
                  <w14:solidFill>
                    <w14:schemeClr w14:val="tx1"/>
                  </w14:solidFill>
                </w14:textFill>
              </w:rPr>
            </w:pPr>
            <w:r>
              <w:rPr>
                <w:rFonts w:ascii="Times New Roman" w:hAnsi="Times New Roman" w:eastAsia="Times New Roman"/>
                <w:b/>
                <w:color w:val="000000" w:themeColor="text1"/>
                <w:spacing w:val="-4"/>
                <w:sz w:val="28"/>
                <w:szCs w:val="28"/>
                <w14:textFill>
                  <w14:solidFill>
                    <w14:schemeClr w14:val="tx1"/>
                  </w14:solidFill>
                </w14:textFill>
              </w:rPr>
              <w:t>NỘI 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9/2021</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Ban hành kế hoạch Công tác chính trị tư tưởng năm học 2021-2022.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Triển khai văn bản về công tác đảm bảo an toàn trường học, công tác phòng, chống dịch bệnh.</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gia lớp tập huấn về chuyên đề về “Chăm sóc sức khỏe thể chất, tinh thần cho trẻ em do tác động của dịch bệnh COVID-19”.</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thực hiện công tác phòng, chống dịch bệnh Covid-19.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10/2021</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highlight w:val="white"/>
                <w14:textFill>
                  <w14:solidFill>
                    <w14:schemeClr w14:val="tx1"/>
                  </w14:solidFill>
                </w14:textFill>
              </w:rPr>
            </w:pPr>
            <w:r>
              <w:rPr>
                <w:rFonts w:ascii="Times New Roman" w:hAnsi="Times New Roman" w:eastAsia="Times New Roman"/>
                <w:color w:val="000000" w:themeColor="text1"/>
                <w:spacing w:val="-4"/>
                <w:sz w:val="28"/>
                <w:szCs w:val="28"/>
                <w:highlight w:val="white"/>
                <w14:textFill>
                  <w14:solidFill>
                    <w14:schemeClr w14:val="tx1"/>
                  </w14:solidFill>
                </w14:textFill>
              </w:rPr>
              <w:t>- Các trường xây dựng kế hoạch tuyên truyền, phổ biến, giáo dục pháp luật, tổ chức thực hiện và lưu hồ sơ theo hướng dẫn.</w:t>
            </w:r>
          </w:p>
          <w:p>
            <w:pPr>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gia các lớp tập huấn do Sở GD tổ chức.</w:t>
            </w:r>
          </w:p>
          <w:p>
            <w:pPr>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các hoạt động giáo dục trên môi trường mạng internet.</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thực hiện công tác phòng, chống dịch bệnh Covid-19.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11/2021</w:t>
            </w: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Tổ chức Hội thi Nét vẽ xanh thành phố Thủ Đức (dự kiến)</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Tổ chức thực hiện “Ngày pháp luật” theo quy định.</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gia Hội thi Học sinh, sinh viên với pháp luật năm học 2021-2022.</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thực hiện công tác phòng, chống dịch bệnh Covid-19.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12/2021</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cập nhật, hướng dẫn cập nhật, rà soát, bổ sung, phổ biến văn bản quy phạm pháp luật, quy định mới.</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gia lớp tập huấn công tác phòng chống ma túy, mại dâm do Sở GD&amp;ĐT tổ chức.</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Phối hợp với BHXH kiểm tra, rà soát việc mua BHYT trong học sinh.</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thực hiện công tác phòng, chống dịch bệnh Covid-19.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01/2022</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Tổ chức thực hiện “Ngày pháp luật” theo quy định.</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Các trường sơ kết công tác chính trị tư tưởng năm học 2021-2022.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Báo cáo Sơ kết công tác chính trị tư tưởng năm học 2020-2022 gửi về Sở GD&amp;ĐT.</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thực hiện công tác phòng, chống dịch bệnh Covid-19.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02/2022</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cập nhật, hướng dẫn cập nhật, rà soát, bổ sung, phổ biến văn bản quy phạm pháp luật, quy định mới.</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Tổ chức giải thể thao học sinh thành phố Thủ Đức năm học 2021-2022.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dự thi đấu Giải thể thao học sinh cấp Thành phố năm học 2021-2022.</w:t>
            </w:r>
          </w:p>
          <w:p>
            <w:pPr>
              <w:tabs>
                <w:tab w:val="left" w:pos="228"/>
              </w:tabs>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thực hiện công tác phòng, chống dịch bệnh Covid-19.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3/2022</w:t>
            </w: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highlight w:val="white"/>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ml:space="preserve">- </w:t>
            </w:r>
            <w:r>
              <w:rPr>
                <w:rFonts w:ascii="Times New Roman" w:hAnsi="Times New Roman" w:eastAsia="Times New Roman"/>
                <w:color w:val="000000" w:themeColor="text1"/>
                <w:spacing w:val="-4"/>
                <w:sz w:val="28"/>
                <w:szCs w:val="28"/>
                <w:highlight w:val="white"/>
                <w14:textFill>
                  <w14:solidFill>
                    <w14:schemeClr w14:val="tx1"/>
                  </w14:solidFill>
                </w14:textFill>
              </w:rPr>
              <w:t>Tổ chức thực hiện “Ngày pháp luật” theo quy định.</w:t>
            </w:r>
          </w:p>
          <w:p>
            <w:pPr>
              <w:spacing w:after="0" w:line="240" w:lineRule="auto"/>
              <w:jc w:val="both"/>
              <w:rPr>
                <w:rFonts w:ascii="Times New Roman" w:hAnsi="Times New Roman" w:eastAsia="Times New Roman"/>
                <w:color w:val="000000" w:themeColor="text1"/>
                <w:spacing w:val="-4"/>
                <w:sz w:val="28"/>
                <w:szCs w:val="28"/>
                <w:highlight w:val="white"/>
                <w14:textFill>
                  <w14:solidFill>
                    <w14:schemeClr w14:val="tx1"/>
                  </w14:solidFill>
                </w14:textFill>
              </w:rPr>
            </w:pPr>
            <w:r>
              <w:rPr>
                <w:rFonts w:ascii="Times New Roman" w:hAnsi="Times New Roman" w:eastAsia="Times New Roman"/>
                <w:color w:val="000000" w:themeColor="text1"/>
                <w:spacing w:val="-4"/>
                <w:sz w:val="28"/>
                <w:szCs w:val="28"/>
                <w:highlight w:val="white"/>
                <w14:textFill>
                  <w14:solidFill>
                    <w14:schemeClr w14:val="tx1"/>
                  </w14:solidFill>
                </w14:textFill>
              </w:rPr>
              <w:t>- Phối hợp với Trung tâm Y tế xây dựng và triển khai kế hoạch kiểm tra, chấm điểm và đánh giá công tác y tế trường học.</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highlight w:val="white"/>
                <w14:textFill>
                  <w14:solidFill>
                    <w14:schemeClr w14:val="tx1"/>
                  </w14:solidFill>
                </w14:textFill>
              </w:rPr>
              <w:t xml:space="preserve">- </w:t>
            </w:r>
            <w:r>
              <w:rPr>
                <w:rFonts w:ascii="Times New Roman" w:hAnsi="Times New Roman" w:eastAsia="Times New Roman"/>
                <w:color w:val="000000" w:themeColor="text1"/>
                <w:spacing w:val="-4"/>
                <w:sz w:val="28"/>
                <w:szCs w:val="28"/>
                <w14:textFill>
                  <w14:solidFill>
                    <w14:schemeClr w14:val="tx1"/>
                  </w14:solidFill>
                </w14:textFill>
              </w:rPr>
              <w:t>Tiếp tục tổ chức giải thể thao học sinh thành phố Thủ Đức năm học 2021-2022.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dự thi đấu Giải thể thao học sinh cấp Thành phố năm học 2021-2022.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Các trường tổ chức hoạt động chào mừng ngày thành lập Đoàn 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4/2022</w:t>
            </w: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cập nhật, hướng dẫn cập nhật, rà soát, bổ sung, phổ biến văn bản quy phạm pháp luật, quy định mới.</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dự thi đấu Giải TTHS Thành phố năm học 2021-2022.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Sinh hoạt chủ điểm kỷ niệm ngày Giải phóng Miền Nam, thống nhất đất nước (30/4).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5/2022</w:t>
            </w:r>
          </w:p>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Sinh hoạt chủ điểm kỷ niệm ngày thành lập Đội TNTP HCM (15/5); ngày Sinh nhật Bác (19/5).</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Tổng kết công tác CTTT năm học 2021-2022; đánh giá thi đua các trường trong việc tổ chức thực hiện công tác CTTT tại đơn vị.</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Thành lập đội tuyển chuẩn bị tham gia Liên hoan nhóm ca khúc chú ve con Hè 2022 do Sở GD&amp;ĐT tổ chức.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6/2022</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cập nhật, hướng dẫn cập nhật, rà soát, bổ sung, phổ biến văn bản quy phạm pháp luật, quy định mới.</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Xây dựng và triển khai Kế hoạch tổ chức hoạt động Hè 2022.</w:t>
            </w:r>
          </w:p>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Tham gia Liên hoan nhóm ca khúc chú ve con Hè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7/2022</w:t>
            </w:r>
          </w:p>
        </w:tc>
        <w:tc>
          <w:tcPr>
            <w:tcW w:w="7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Thực hiện cập nhật, hướng dẫn cập nhật, rà soát, bổ sung, phổ biến văn bản quy phạm pháp luật, quy định mới.</w:t>
            </w:r>
          </w:p>
          <w:p>
            <w:pPr>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Tổ chức các Hội thi liên quan đến Văn-Thể-Mỹ cho học sinh tham gia trong dịp Hè 2022.</w:t>
            </w:r>
          </w:p>
          <w:p>
            <w:pPr>
              <w:spacing w:after="0" w:line="240" w:lineRule="auto"/>
              <w:ind w:left="25"/>
              <w:jc w:val="both"/>
              <w:rPr>
                <w:rFonts w:ascii="Times New Roman" w:hAnsi="Times New Roman" w:eastAsia="Times New Roman"/>
                <w:color w:val="000000" w:themeColor="text1"/>
                <w:spacing w:val="-4"/>
                <w:sz w:val="28"/>
                <w:szCs w:val="28"/>
                <w14:textFill>
                  <w14:solidFill>
                    <w14:schemeClr w14:val="tx1"/>
                  </w14:solidFill>
                </w14:textFill>
              </w:rPr>
            </w:pPr>
            <w:r>
              <w:rPr>
                <w:rFonts w:ascii="Times New Roman" w:hAnsi="Times New Roman" w:eastAsia="Times New Roman"/>
                <w:color w:val="000000" w:themeColor="text1"/>
                <w:spacing w:val="-4"/>
                <w:sz w:val="28"/>
                <w:szCs w:val="28"/>
                <w14:textFill>
                  <w14:solidFill>
                    <w14:schemeClr w14:val="tx1"/>
                  </w14:solidFill>
                </w14:textFill>
              </w:rPr>
              <w:t>- Tiếp tục tham gia các hoạt động Hè 2022 do Sở GD&amp;ĐT tổ chức.</w:t>
            </w:r>
          </w:p>
        </w:tc>
      </w:tr>
    </w:tbl>
    <w:p>
      <w:pPr>
        <w:rPr>
          <w:rFonts w:ascii="Times New Roman" w:hAnsi="Times New Roman" w:eastAsia="Times New Roman"/>
          <w:color w:val="000000" w:themeColor="text1"/>
          <w:spacing w:val="-4"/>
          <w:sz w:val="28"/>
          <w:szCs w:val="28"/>
          <w14:textFill>
            <w14:solidFill>
              <w14:schemeClr w14:val="tx1"/>
            </w14:solidFill>
          </w14:textFill>
        </w:rPr>
      </w:pPr>
    </w:p>
    <w:p>
      <w:pPr>
        <w:rPr>
          <w:rFonts w:ascii="Times New Roman" w:hAnsi="Times New Roman" w:eastAsia="Times New Roman"/>
          <w:color w:val="000000" w:themeColor="text1"/>
          <w:spacing w:val="-4"/>
          <w:sz w:val="28"/>
          <w:szCs w:val="28"/>
          <w14:textFill>
            <w14:solidFill>
              <w14:schemeClr w14:val="tx1"/>
            </w14:solidFill>
          </w14:textFill>
        </w:rPr>
      </w:pPr>
    </w:p>
    <w:sectPr>
      <w:headerReference r:id="rId5" w:type="default"/>
      <w:pgSz w:w="11907" w:h="16840"/>
      <w:pgMar w:top="990" w:right="1140" w:bottom="990" w:left="1701" w:header="397" w:footer="397"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jc w:val="center"/>
      <w:rPr>
        <w:rFonts w:cs="Calibri"/>
        <w:color w:val="000000"/>
      </w:rPr>
    </w:pPr>
    <w:r>
      <w:rPr>
        <w:rFonts w:cs="Calibri"/>
        <w:color w:val="000000"/>
      </w:rPr>
      <w:fldChar w:fldCharType="begin"/>
    </w:r>
    <w:r>
      <w:rPr>
        <w:rFonts w:cs="Calibri"/>
        <w:color w:val="000000"/>
      </w:rPr>
      <w:instrText xml:space="preserve">PAGE</w:instrText>
    </w:r>
    <w:r>
      <w:rPr>
        <w:rFonts w:cs="Calibri"/>
        <w:color w:val="000000"/>
      </w:rPr>
      <w:fldChar w:fldCharType="separate"/>
    </w:r>
    <w:r>
      <w:rPr>
        <w:rFonts w:cs="Calibri"/>
        <w:color w:val="000000"/>
      </w:rPr>
      <w:t>11</w:t>
    </w:r>
    <w:r>
      <w:rPr>
        <w:rFonts w:cs="Calibri"/>
        <w:color w:val="000000"/>
      </w:rPr>
      <w:fldChar w:fldCharType="end"/>
    </w:r>
  </w:p>
  <w:p>
    <w:pP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21F4"/>
    <w:multiLevelType w:val="multilevel"/>
    <w:tmpl w:val="207721F4"/>
    <w:lvl w:ilvl="0" w:tentative="0">
      <w:start w:val="1"/>
      <w:numFmt w:val="upperRoman"/>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28C82A76"/>
    <w:multiLevelType w:val="multilevel"/>
    <w:tmpl w:val="28C82A76"/>
    <w:lvl w:ilvl="0" w:tentative="0">
      <w:start w:val="1"/>
      <w:numFmt w:val="bullet"/>
      <w:lvlText w:val="-"/>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3BD64BC4"/>
    <w:multiLevelType w:val="multilevel"/>
    <w:tmpl w:val="3BD64BC4"/>
    <w:lvl w:ilvl="0" w:tentative="0">
      <w:start w:val="1"/>
      <w:numFmt w:val="decimal"/>
      <w:lvlText w:val="%1."/>
      <w:lvlJc w:val="left"/>
      <w:pPr>
        <w:ind w:left="1440" w:hanging="360"/>
      </w:pPr>
      <w:rPr>
        <w:u w:val="none"/>
      </w:rPr>
    </w:lvl>
    <w:lvl w:ilvl="1" w:tentative="0">
      <w:start w:val="1"/>
      <w:numFmt w:val="lowerLetter"/>
      <w:lvlText w:val="%2."/>
      <w:lvlJc w:val="left"/>
      <w:pPr>
        <w:ind w:left="2160" w:hanging="360"/>
      </w:pPr>
      <w:rPr>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3">
    <w:nsid w:val="757C61C2"/>
    <w:multiLevelType w:val="multilevel"/>
    <w:tmpl w:val="757C61C2"/>
    <w:lvl w:ilvl="0" w:tentative="0">
      <w:start w:val="0"/>
      <w:numFmt w:val="bullet"/>
      <w:lvlText w:val="-"/>
      <w:lvlJc w:val="left"/>
      <w:pPr>
        <w:ind w:left="1212" w:hanging="360"/>
      </w:pPr>
      <w:rPr>
        <w:rFonts w:ascii="Times New Roman" w:hAnsi="Times New Roman" w:eastAsia="Times New Roman" w:cs="Times New Roman"/>
        <w:color w:val="000000"/>
      </w:rPr>
    </w:lvl>
    <w:lvl w:ilvl="1" w:tentative="0">
      <w:start w:val="1"/>
      <w:numFmt w:val="bullet"/>
      <w:lvlText w:val="o"/>
      <w:lvlJc w:val="left"/>
      <w:pPr>
        <w:ind w:left="2070" w:hanging="360"/>
      </w:pPr>
      <w:rPr>
        <w:rFonts w:ascii="Courier New" w:hAnsi="Courier New" w:eastAsia="Courier New" w:cs="Courier New"/>
      </w:rPr>
    </w:lvl>
    <w:lvl w:ilvl="2" w:tentative="0">
      <w:start w:val="1"/>
      <w:numFmt w:val="bullet"/>
      <w:lvlText w:val="▪"/>
      <w:lvlJc w:val="left"/>
      <w:pPr>
        <w:ind w:left="2790" w:hanging="360"/>
      </w:pPr>
      <w:rPr>
        <w:rFonts w:ascii="Noto Sans Symbols" w:hAnsi="Noto Sans Symbols" w:eastAsia="Noto Sans Symbols" w:cs="Noto Sans Symbols"/>
      </w:rPr>
    </w:lvl>
    <w:lvl w:ilvl="3" w:tentative="0">
      <w:start w:val="1"/>
      <w:numFmt w:val="bullet"/>
      <w:lvlText w:val="●"/>
      <w:lvlJc w:val="left"/>
      <w:pPr>
        <w:ind w:left="3510" w:hanging="360"/>
      </w:pPr>
      <w:rPr>
        <w:rFonts w:ascii="Noto Sans Symbols" w:hAnsi="Noto Sans Symbols" w:eastAsia="Noto Sans Symbols" w:cs="Noto Sans Symbols"/>
      </w:rPr>
    </w:lvl>
    <w:lvl w:ilvl="4" w:tentative="0">
      <w:start w:val="1"/>
      <w:numFmt w:val="bullet"/>
      <w:lvlText w:val="o"/>
      <w:lvlJc w:val="left"/>
      <w:pPr>
        <w:ind w:left="4230" w:hanging="360"/>
      </w:pPr>
      <w:rPr>
        <w:rFonts w:ascii="Courier New" w:hAnsi="Courier New" w:eastAsia="Courier New" w:cs="Courier New"/>
      </w:rPr>
    </w:lvl>
    <w:lvl w:ilvl="5" w:tentative="0">
      <w:start w:val="1"/>
      <w:numFmt w:val="bullet"/>
      <w:lvlText w:val="▪"/>
      <w:lvlJc w:val="left"/>
      <w:pPr>
        <w:ind w:left="4950" w:hanging="360"/>
      </w:pPr>
      <w:rPr>
        <w:rFonts w:ascii="Noto Sans Symbols" w:hAnsi="Noto Sans Symbols" w:eastAsia="Noto Sans Symbols" w:cs="Noto Sans Symbols"/>
      </w:rPr>
    </w:lvl>
    <w:lvl w:ilvl="6" w:tentative="0">
      <w:start w:val="1"/>
      <w:numFmt w:val="bullet"/>
      <w:lvlText w:val="●"/>
      <w:lvlJc w:val="left"/>
      <w:pPr>
        <w:ind w:left="5670" w:hanging="360"/>
      </w:pPr>
      <w:rPr>
        <w:rFonts w:ascii="Noto Sans Symbols" w:hAnsi="Noto Sans Symbols" w:eastAsia="Noto Sans Symbols" w:cs="Noto Sans Symbols"/>
      </w:rPr>
    </w:lvl>
    <w:lvl w:ilvl="7" w:tentative="0">
      <w:start w:val="1"/>
      <w:numFmt w:val="bullet"/>
      <w:lvlText w:val="o"/>
      <w:lvlJc w:val="left"/>
      <w:pPr>
        <w:ind w:left="6390" w:hanging="360"/>
      </w:pPr>
      <w:rPr>
        <w:rFonts w:ascii="Courier New" w:hAnsi="Courier New" w:eastAsia="Courier New" w:cs="Courier New"/>
      </w:rPr>
    </w:lvl>
    <w:lvl w:ilvl="8" w:tentative="0">
      <w:start w:val="1"/>
      <w:numFmt w:val="bullet"/>
      <w:lvlText w:val="▪"/>
      <w:lvlJc w:val="left"/>
      <w:pPr>
        <w:ind w:left="7110" w:hanging="360"/>
      </w:pPr>
      <w:rPr>
        <w:rFonts w:ascii="Noto Sans Symbols" w:hAnsi="Noto Sans Symbols" w:eastAsia="Noto Sans Symbols" w:cs="Noto Sans Symbols"/>
      </w:rPr>
    </w:lvl>
  </w:abstractNum>
  <w:abstractNum w:abstractNumId="4">
    <w:nsid w:val="7E1D714D"/>
    <w:multiLevelType w:val="multilevel"/>
    <w:tmpl w:val="7E1D714D"/>
    <w:lvl w:ilvl="0" w:tentative="0">
      <w:start w:val="1"/>
      <w:numFmt w:val="decimal"/>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F70BD4"/>
    <w:rsid w:val="000371B6"/>
    <w:rsid w:val="00083BF2"/>
    <w:rsid w:val="00086586"/>
    <w:rsid w:val="0016613A"/>
    <w:rsid w:val="00180001"/>
    <w:rsid w:val="001B092D"/>
    <w:rsid w:val="00220A98"/>
    <w:rsid w:val="00250CB9"/>
    <w:rsid w:val="00253787"/>
    <w:rsid w:val="002621DB"/>
    <w:rsid w:val="00264F98"/>
    <w:rsid w:val="002913E2"/>
    <w:rsid w:val="002D11E9"/>
    <w:rsid w:val="002F3A1A"/>
    <w:rsid w:val="0032342E"/>
    <w:rsid w:val="00334761"/>
    <w:rsid w:val="00357777"/>
    <w:rsid w:val="0036411E"/>
    <w:rsid w:val="0037327F"/>
    <w:rsid w:val="003B0B28"/>
    <w:rsid w:val="003B2C7F"/>
    <w:rsid w:val="003D2FD8"/>
    <w:rsid w:val="003F2826"/>
    <w:rsid w:val="004318CE"/>
    <w:rsid w:val="004654C6"/>
    <w:rsid w:val="004B03BD"/>
    <w:rsid w:val="004E57E2"/>
    <w:rsid w:val="00503B28"/>
    <w:rsid w:val="00525CB8"/>
    <w:rsid w:val="005979A8"/>
    <w:rsid w:val="0061220A"/>
    <w:rsid w:val="006169E3"/>
    <w:rsid w:val="00641A0D"/>
    <w:rsid w:val="00641E4C"/>
    <w:rsid w:val="0067137A"/>
    <w:rsid w:val="006777D0"/>
    <w:rsid w:val="00722918"/>
    <w:rsid w:val="00735F57"/>
    <w:rsid w:val="00737F05"/>
    <w:rsid w:val="0076016A"/>
    <w:rsid w:val="007644B6"/>
    <w:rsid w:val="0077425D"/>
    <w:rsid w:val="007923DF"/>
    <w:rsid w:val="00855E70"/>
    <w:rsid w:val="00866C07"/>
    <w:rsid w:val="008A1DCC"/>
    <w:rsid w:val="008A63F1"/>
    <w:rsid w:val="008C3BC2"/>
    <w:rsid w:val="008E53C7"/>
    <w:rsid w:val="00920C07"/>
    <w:rsid w:val="00974496"/>
    <w:rsid w:val="00985B03"/>
    <w:rsid w:val="009A433C"/>
    <w:rsid w:val="009D41EC"/>
    <w:rsid w:val="00A25489"/>
    <w:rsid w:val="00A3521A"/>
    <w:rsid w:val="00A60D07"/>
    <w:rsid w:val="00A85B7B"/>
    <w:rsid w:val="00B11408"/>
    <w:rsid w:val="00B1163D"/>
    <w:rsid w:val="00B2325A"/>
    <w:rsid w:val="00B64EB3"/>
    <w:rsid w:val="00B84F71"/>
    <w:rsid w:val="00BA1488"/>
    <w:rsid w:val="00BE3E99"/>
    <w:rsid w:val="00C05AA7"/>
    <w:rsid w:val="00D1539E"/>
    <w:rsid w:val="00D558A9"/>
    <w:rsid w:val="00D708CF"/>
    <w:rsid w:val="00DA6DCC"/>
    <w:rsid w:val="00DB6339"/>
    <w:rsid w:val="00E606F7"/>
    <w:rsid w:val="00E742DC"/>
    <w:rsid w:val="00EA2AFF"/>
    <w:rsid w:val="00F347C4"/>
    <w:rsid w:val="00F70BD4"/>
    <w:rsid w:val="00F73669"/>
    <w:rsid w:val="00FA301E"/>
    <w:rsid w:val="3174306A"/>
    <w:rsid w:val="3906467D"/>
    <w:rsid w:val="487623ED"/>
    <w:rsid w:val="4A9D45FE"/>
    <w:rsid w:val="4CFA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6"/>
    <w:semiHidden/>
    <w:unhideWhenUsed/>
    <w:qFormat/>
    <w:uiPriority w:val="99"/>
    <w:pPr>
      <w:spacing w:after="0" w:line="240" w:lineRule="auto"/>
    </w:pPr>
    <w:rPr>
      <w:rFonts w:ascii="Tahoma" w:hAnsi="Tahoma" w:cs="Tahoma"/>
      <w:sz w:val="16"/>
      <w:szCs w:val="16"/>
    </w:rPr>
  </w:style>
  <w:style w:type="paragraph" w:styleId="11">
    <w:name w:val="Body Text Indent 2"/>
    <w:basedOn w:val="1"/>
    <w:link w:val="24"/>
    <w:unhideWhenUsed/>
    <w:qFormat/>
    <w:uiPriority w:val="99"/>
    <w:pPr>
      <w:spacing w:after="120" w:line="480" w:lineRule="auto"/>
      <w:ind w:left="360"/>
    </w:pPr>
  </w:style>
  <w:style w:type="character" w:styleId="12">
    <w:name w:val="Emphasis"/>
    <w:qFormat/>
    <w:uiPriority w:val="20"/>
    <w:rPr>
      <w:i/>
      <w:iCs/>
    </w:rPr>
  </w:style>
  <w:style w:type="character" w:styleId="13">
    <w:name w:val="FollowedHyperlink"/>
    <w:basedOn w:val="8"/>
    <w:semiHidden/>
    <w:unhideWhenUsed/>
    <w:qFormat/>
    <w:uiPriority w:val="99"/>
    <w:rPr>
      <w:color w:val="800080"/>
      <w:u w:val="single"/>
    </w:rPr>
  </w:style>
  <w:style w:type="paragraph" w:styleId="14">
    <w:name w:val="footer"/>
    <w:basedOn w:val="1"/>
    <w:link w:val="28"/>
    <w:unhideWhenUsed/>
    <w:qFormat/>
    <w:uiPriority w:val="99"/>
    <w:pPr>
      <w:tabs>
        <w:tab w:val="center" w:pos="4680"/>
        <w:tab w:val="right" w:pos="9360"/>
      </w:tabs>
      <w:spacing w:after="0" w:line="240" w:lineRule="auto"/>
    </w:pPr>
  </w:style>
  <w:style w:type="paragraph" w:styleId="15">
    <w:name w:val="header"/>
    <w:basedOn w:val="1"/>
    <w:link w:val="27"/>
    <w:unhideWhenUsed/>
    <w:qFormat/>
    <w:uiPriority w:val="99"/>
    <w:pPr>
      <w:tabs>
        <w:tab w:val="center" w:pos="4680"/>
        <w:tab w:val="right" w:pos="9360"/>
      </w:tabs>
      <w:spacing w:after="0" w:line="240" w:lineRule="auto"/>
    </w:pPr>
  </w:style>
  <w:style w:type="character" w:styleId="16">
    <w:name w:val="Hyperlink"/>
    <w:basedOn w:val="8"/>
    <w:unhideWhenUsed/>
    <w:qFormat/>
    <w:uiPriority w:val="99"/>
    <w:rPr>
      <w:color w:val="0000FF"/>
      <w:u w:val="single"/>
    </w:rPr>
  </w:style>
  <w:style w:type="paragraph" w:styleId="17">
    <w:name w:val="Normal (Web)"/>
    <w:basedOn w:val="1"/>
    <w:link w:val="31"/>
    <w:qFormat/>
    <w:uiPriority w:val="0"/>
    <w:pPr>
      <w:spacing w:before="100" w:beforeAutospacing="1" w:after="100" w:afterAutospacing="1" w:line="240" w:lineRule="auto"/>
    </w:pPr>
    <w:rPr>
      <w:rFonts w:ascii="Times New Roman" w:hAnsi="Times New Roman" w:eastAsia="Times New Roman"/>
      <w:sz w:val="24"/>
      <w:szCs w:val="24"/>
    </w:rPr>
  </w:style>
  <w:style w:type="character" w:styleId="18">
    <w:name w:val="page number"/>
    <w:basedOn w:val="8"/>
    <w:unhideWhenUsed/>
    <w:qFormat/>
    <w:uiPriority w:val="0"/>
    <w:rPr>
      <w:rFonts w:hint="default"/>
      <w:sz w:val="24"/>
      <w:szCs w:val="24"/>
    </w:rPr>
  </w:style>
  <w:style w:type="character" w:styleId="19">
    <w:name w:val="Strong"/>
    <w:basedOn w:val="8"/>
    <w:qFormat/>
    <w:uiPriority w:val="22"/>
    <w:rPr>
      <w:b/>
      <w:bCs/>
    </w:rPr>
  </w:style>
  <w:style w:type="paragraph" w:styleId="20">
    <w:name w:val="Subtitle"/>
    <w:basedOn w:val="1"/>
    <w:next w:val="1"/>
    <w:uiPriority w:val="0"/>
    <w:pPr>
      <w:keepNext/>
      <w:keepLines/>
      <w:spacing w:before="360" w:after="80"/>
    </w:pPr>
    <w:rPr>
      <w:rFonts w:ascii="Georgia" w:hAnsi="Georgia" w:eastAsia="Georgia" w:cs="Georgia"/>
      <w:i/>
      <w:color w:val="666666"/>
      <w:sz w:val="48"/>
      <w:szCs w:val="48"/>
    </w:rPr>
  </w:style>
  <w:style w:type="table" w:styleId="21">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uiPriority w:val="0"/>
    <w:pPr>
      <w:keepNext/>
      <w:keepLines/>
      <w:spacing w:before="480" w:after="120"/>
    </w:pPr>
    <w:rPr>
      <w:b/>
      <w:sz w:val="72"/>
      <w:szCs w:val="72"/>
    </w:rPr>
  </w:style>
  <w:style w:type="paragraph" w:styleId="23">
    <w:name w:val="List Paragraph"/>
    <w:basedOn w:val="1"/>
    <w:link w:val="25"/>
    <w:qFormat/>
    <w:uiPriority w:val="34"/>
    <w:pPr>
      <w:ind w:left="720"/>
      <w:contextualSpacing/>
    </w:pPr>
  </w:style>
  <w:style w:type="character" w:customStyle="1" w:styleId="24">
    <w:name w:val="Body Text Indent 2 Char"/>
    <w:basedOn w:val="8"/>
    <w:link w:val="11"/>
    <w:qFormat/>
    <w:uiPriority w:val="99"/>
    <w:rPr>
      <w:rFonts w:ascii="Calibri" w:hAnsi="Calibri" w:eastAsia="Calibri" w:cs="Times New Roman"/>
    </w:rPr>
  </w:style>
  <w:style w:type="character" w:customStyle="1" w:styleId="25">
    <w:name w:val="List Paragraph Char"/>
    <w:link w:val="23"/>
    <w:qFormat/>
    <w:uiPriority w:val="34"/>
    <w:rPr>
      <w:rFonts w:ascii="Calibri" w:hAnsi="Calibri" w:eastAsia="Calibri" w:cs="Times New Roman"/>
    </w:rPr>
  </w:style>
  <w:style w:type="character" w:customStyle="1" w:styleId="26">
    <w:name w:val="Balloon Text Char"/>
    <w:basedOn w:val="8"/>
    <w:link w:val="10"/>
    <w:semiHidden/>
    <w:qFormat/>
    <w:uiPriority w:val="99"/>
    <w:rPr>
      <w:rFonts w:ascii="Tahoma" w:hAnsi="Tahoma" w:eastAsia="Calibri" w:cs="Tahoma"/>
      <w:sz w:val="16"/>
      <w:szCs w:val="16"/>
    </w:rPr>
  </w:style>
  <w:style w:type="character" w:customStyle="1" w:styleId="27">
    <w:name w:val="Header Char"/>
    <w:basedOn w:val="8"/>
    <w:link w:val="15"/>
    <w:qFormat/>
    <w:uiPriority w:val="99"/>
    <w:rPr>
      <w:rFonts w:ascii="Calibri" w:hAnsi="Calibri" w:eastAsia="Calibri" w:cs="Times New Roman"/>
    </w:rPr>
  </w:style>
  <w:style w:type="character" w:customStyle="1" w:styleId="28">
    <w:name w:val="Footer Char"/>
    <w:basedOn w:val="8"/>
    <w:link w:val="14"/>
    <w:qFormat/>
    <w:uiPriority w:val="99"/>
    <w:rPr>
      <w:rFonts w:ascii="Calibri" w:hAnsi="Calibri" w:eastAsia="Calibri" w:cs="Times New Roman"/>
    </w:rPr>
  </w:style>
  <w:style w:type="character" w:customStyle="1" w:styleId="29">
    <w:name w:val="Body Text Char1"/>
    <w:qFormat/>
    <w:uiPriority w:val="99"/>
    <w:rPr>
      <w:rFonts w:ascii="Times New Roman" w:hAnsi="Times New Roman" w:cs="Times New Roman"/>
      <w:sz w:val="26"/>
      <w:szCs w:val="26"/>
      <w:u w:val="none"/>
    </w:rPr>
  </w:style>
  <w:style w:type="character" w:customStyle="1" w:styleId="30">
    <w:name w:val="Unresolved Mention1"/>
    <w:basedOn w:val="8"/>
    <w:semiHidden/>
    <w:unhideWhenUsed/>
    <w:qFormat/>
    <w:uiPriority w:val="99"/>
    <w:rPr>
      <w:color w:val="605E5C"/>
      <w:shd w:val="clear" w:color="auto" w:fill="E1DFDD"/>
    </w:rPr>
  </w:style>
  <w:style w:type="character" w:customStyle="1" w:styleId="31">
    <w:name w:val="Normal (Web) Char"/>
    <w:link w:val="17"/>
    <w:qFormat/>
    <w:locked/>
    <w:uiPriority w:val="0"/>
    <w:rPr>
      <w:rFonts w:eastAsia="Times New Roman"/>
      <w:sz w:val="24"/>
      <w:szCs w:val="24"/>
    </w:rPr>
  </w:style>
  <w:style w:type="table" w:customStyle="1" w:styleId="32">
    <w:name w:val="_Style 31"/>
    <w:basedOn w:val="9"/>
    <w:uiPriority w:val="0"/>
  </w:style>
  <w:style w:type="table" w:customStyle="1" w:styleId="33">
    <w:name w:val="_Style 32"/>
    <w:basedOn w:val="9"/>
    <w:uiPriority w:val="0"/>
  </w:style>
  <w:style w:type="table" w:customStyle="1" w:styleId="34">
    <w:name w:val="_Style 33"/>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UEe05SIG6M++xvIUTrkoIcH9b9Q==">AMUW2mXtopqIcbvzh+dHlTlKf8EhdneI1rx+AyGvqZVeQYaOhgUpAeO4x02m8ARzy5vJgpbxqq0zoKTPWDNuJI6aKZeRYRB9inWa/Hi6wG8cEGLNchG3c207+AlGgOC0HwPP1bv+9Dh2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10</Pages>
  <Words>3921</Words>
  <Characters>22352</Characters>
  <Lines>186</Lines>
  <Paragraphs>52</Paragraphs>
  <TotalTime>261</TotalTime>
  <ScaleCrop>false</ScaleCrop>
  <LinksUpToDate>false</LinksUpToDate>
  <CharactersWithSpaces>26221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2021-09-23T12:44:00Z</dcterms:created>
  <dc:creator>LAN TUYEN</dc:creator>
  <cp:lastModifiedBy>nguyet minh</cp:lastModifiedBy>
  <dcterms:modified xsi:type="dcterms:W3CDTF">2021-09-26T09:21:17Z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D3789C2BFA684F479AC08B0CDB5858C6</vt:lpwstr>
  </property>
</Properties>
</file>